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8C6EE" w14:textId="77777777" w:rsidR="001F4C0E" w:rsidRPr="009C0800" w:rsidRDefault="009C0800" w:rsidP="00ED2E5A">
      <w:pPr>
        <w:jc w:val="center"/>
        <w:rPr>
          <w:rFonts w:cstheme="minorHAnsi"/>
          <w:color w:val="505050"/>
        </w:rPr>
      </w:pPr>
      <w:r w:rsidRPr="009C0800">
        <w:rPr>
          <w:rFonts w:cstheme="minorHAnsi"/>
          <w:noProof/>
          <w:color w:val="505050"/>
          <w:lang w:eastAsia="en-GB"/>
        </w:rPr>
        <w:drawing>
          <wp:inline distT="0" distB="0" distL="0" distR="0" wp14:anchorId="6278CB80" wp14:editId="4F23E9E1">
            <wp:extent cx="1098550" cy="541076"/>
            <wp:effectExtent l="0" t="0" r="6350" b="0"/>
            <wp:docPr id="15" name="Picture 14">
              <a:extLst xmlns:a="http://schemas.openxmlformats.org/drawingml/2006/main">
                <a:ext uri="{FF2B5EF4-FFF2-40B4-BE49-F238E27FC236}">
                  <a16:creationId xmlns:a16="http://schemas.microsoft.com/office/drawing/2014/main" id="{5A9724E3-BE0D-424C-8311-18598A9597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A9724E3-BE0D-424C-8311-18598A95975D}"/>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4591" cy="578529"/>
                    </a:xfrm>
                    <a:prstGeom prst="rect">
                      <a:avLst/>
                    </a:prstGeom>
                    <a:solidFill>
                      <a:schemeClr val="bg1"/>
                    </a:solidFill>
                  </pic:spPr>
                </pic:pic>
              </a:graphicData>
            </a:graphic>
          </wp:inline>
        </w:drawing>
      </w:r>
    </w:p>
    <w:p w14:paraId="710477FE" w14:textId="77777777" w:rsidR="009C0800" w:rsidRDefault="009C0800" w:rsidP="009C0800">
      <w:pPr>
        <w:jc w:val="both"/>
        <w:rPr>
          <w:rFonts w:cstheme="minorHAnsi"/>
          <w:sz w:val="20"/>
          <w:szCs w:val="20"/>
        </w:rPr>
      </w:pPr>
    </w:p>
    <w:p w14:paraId="4DBFB966" w14:textId="6E445145" w:rsidR="00F47ACF" w:rsidRDefault="00F47ACF" w:rsidP="00A61848">
      <w:pPr>
        <w:jc w:val="center"/>
        <w:rPr>
          <w:rFonts w:cstheme="minorHAnsi"/>
          <w:b/>
          <w:color w:val="000000" w:themeColor="text1"/>
          <w:sz w:val="28"/>
          <w:szCs w:val="28"/>
        </w:rPr>
      </w:pPr>
      <w:r w:rsidRPr="00F47ACF">
        <w:rPr>
          <w:rFonts w:cstheme="minorHAnsi"/>
          <w:b/>
          <w:color w:val="000000" w:themeColor="text1"/>
          <w:sz w:val="28"/>
          <w:szCs w:val="28"/>
        </w:rPr>
        <w:t>Introduction to ATM</w:t>
      </w:r>
    </w:p>
    <w:p w14:paraId="7CFB0A21" w14:textId="1F605593" w:rsidR="00A61848" w:rsidRDefault="00A61848" w:rsidP="00A61848">
      <w:pPr>
        <w:jc w:val="center"/>
        <w:rPr>
          <w:rFonts w:cstheme="minorHAnsi"/>
          <w:b/>
          <w:color w:val="000000" w:themeColor="text1"/>
          <w:sz w:val="28"/>
          <w:szCs w:val="28"/>
        </w:rPr>
      </w:pPr>
      <w:r>
        <w:rPr>
          <w:rFonts w:cstheme="minorHAnsi"/>
          <w:b/>
          <w:color w:val="000000" w:themeColor="text1"/>
          <w:sz w:val="28"/>
          <w:szCs w:val="28"/>
        </w:rPr>
        <w:t>S</w:t>
      </w:r>
      <w:r w:rsidRPr="00A61848">
        <w:rPr>
          <w:rFonts w:cstheme="minorHAnsi"/>
          <w:b/>
          <w:color w:val="000000" w:themeColor="text1"/>
          <w:sz w:val="28"/>
          <w:szCs w:val="28"/>
        </w:rPr>
        <w:t>upplementary briefing notes</w:t>
      </w:r>
    </w:p>
    <w:p w14:paraId="44FE1791" w14:textId="77777777" w:rsidR="00A61848" w:rsidRDefault="00A61848" w:rsidP="00E82055">
      <w:pPr>
        <w:rPr>
          <w:rFonts w:cstheme="minorHAnsi"/>
          <w:color w:val="505050"/>
        </w:rPr>
      </w:pPr>
    </w:p>
    <w:tbl>
      <w:tblPr>
        <w:tblStyle w:val="TableGrid"/>
        <w:tblW w:w="0" w:type="auto"/>
        <w:tblLook w:val="04A0" w:firstRow="1" w:lastRow="0" w:firstColumn="1" w:lastColumn="0" w:noHBand="0" w:noVBand="1"/>
      </w:tblPr>
      <w:tblGrid>
        <w:gridCol w:w="1838"/>
        <w:gridCol w:w="7178"/>
      </w:tblGrid>
      <w:tr w:rsidR="00A61848" w:rsidRPr="00A61848" w14:paraId="0687056C" w14:textId="77777777" w:rsidTr="00821F48">
        <w:tc>
          <w:tcPr>
            <w:tcW w:w="1838" w:type="dxa"/>
          </w:tcPr>
          <w:p w14:paraId="06E06887" w14:textId="77777777" w:rsidR="00A61848" w:rsidRPr="00A61848" w:rsidRDefault="00A61848" w:rsidP="001C0A6F">
            <w:pPr>
              <w:rPr>
                <w:rFonts w:cstheme="minorHAnsi"/>
                <w:color w:val="505050"/>
              </w:rPr>
            </w:pPr>
            <w:r w:rsidRPr="00A61848">
              <w:rPr>
                <w:rFonts w:cstheme="minorHAnsi"/>
                <w:color w:val="505050"/>
              </w:rPr>
              <w:t>Course title</w:t>
            </w:r>
          </w:p>
        </w:tc>
        <w:tc>
          <w:tcPr>
            <w:tcW w:w="7178" w:type="dxa"/>
          </w:tcPr>
          <w:p w14:paraId="6A16C4C1" w14:textId="5211BC48" w:rsidR="00A61848" w:rsidRPr="00A61848" w:rsidRDefault="00A61848" w:rsidP="001C0A6F">
            <w:pPr>
              <w:rPr>
                <w:rFonts w:cstheme="minorHAnsi"/>
                <w:color w:val="505050"/>
              </w:rPr>
            </w:pPr>
            <w:r w:rsidRPr="00A61848">
              <w:rPr>
                <w:rFonts w:cstheme="minorHAnsi"/>
                <w:color w:val="505050"/>
              </w:rPr>
              <w:t>Introduction to ATM</w:t>
            </w:r>
          </w:p>
        </w:tc>
      </w:tr>
      <w:tr w:rsidR="00A61848" w:rsidRPr="00A61848" w14:paraId="56CEAC63" w14:textId="77777777" w:rsidTr="00821F48">
        <w:tc>
          <w:tcPr>
            <w:tcW w:w="1838" w:type="dxa"/>
          </w:tcPr>
          <w:p w14:paraId="04E7A388" w14:textId="7BFD4E0C" w:rsidR="00A61848" w:rsidRPr="00A61848" w:rsidRDefault="00A61848" w:rsidP="001C0A6F">
            <w:pPr>
              <w:rPr>
                <w:rFonts w:cstheme="minorHAnsi"/>
                <w:color w:val="505050"/>
              </w:rPr>
            </w:pPr>
            <w:r w:rsidRPr="00A61848">
              <w:rPr>
                <w:rFonts w:cstheme="minorHAnsi"/>
                <w:color w:val="505050"/>
              </w:rPr>
              <w:t>Lecture title</w:t>
            </w:r>
            <w:r w:rsidR="001F5B69">
              <w:rPr>
                <w:rFonts w:cstheme="minorHAnsi"/>
                <w:color w:val="505050"/>
              </w:rPr>
              <w:t>s</w:t>
            </w:r>
          </w:p>
        </w:tc>
        <w:tc>
          <w:tcPr>
            <w:tcW w:w="7178" w:type="dxa"/>
          </w:tcPr>
          <w:p w14:paraId="6F06EC36" w14:textId="77777777" w:rsidR="00821F48" w:rsidRPr="00821F48" w:rsidRDefault="00821F48" w:rsidP="00821F48">
            <w:pPr>
              <w:rPr>
                <w:rFonts w:cstheme="minorHAnsi"/>
                <w:color w:val="505050"/>
              </w:rPr>
            </w:pPr>
            <w:r w:rsidRPr="00821F48">
              <w:rPr>
                <w:rFonts w:cstheme="minorHAnsi"/>
                <w:color w:val="505050"/>
              </w:rPr>
              <w:t>1. Air Traffic Control as part of Air Transport System</w:t>
            </w:r>
          </w:p>
          <w:p w14:paraId="77A0B82B" w14:textId="77777777" w:rsidR="00821F48" w:rsidRPr="00821F48" w:rsidRDefault="00821F48" w:rsidP="00821F48">
            <w:pPr>
              <w:rPr>
                <w:rFonts w:cstheme="minorHAnsi"/>
                <w:color w:val="505050"/>
              </w:rPr>
            </w:pPr>
            <w:r w:rsidRPr="00821F48">
              <w:rPr>
                <w:rFonts w:cstheme="minorHAnsi"/>
                <w:color w:val="505050"/>
              </w:rPr>
              <w:t>2. Airspace Management (ASM)</w:t>
            </w:r>
          </w:p>
          <w:p w14:paraId="6BC640D4" w14:textId="77777777" w:rsidR="00821F48" w:rsidRPr="00821F48" w:rsidRDefault="00821F48" w:rsidP="00821F48">
            <w:pPr>
              <w:rPr>
                <w:rFonts w:cstheme="minorHAnsi"/>
                <w:color w:val="505050"/>
              </w:rPr>
            </w:pPr>
            <w:r w:rsidRPr="00821F48">
              <w:rPr>
                <w:rFonts w:cstheme="minorHAnsi"/>
                <w:color w:val="505050"/>
              </w:rPr>
              <w:t>3. Air Traffic Service (ATS)</w:t>
            </w:r>
          </w:p>
          <w:p w14:paraId="2FB204EB" w14:textId="77777777" w:rsidR="00821F48" w:rsidRPr="00821F48" w:rsidRDefault="00821F48" w:rsidP="00821F48">
            <w:pPr>
              <w:rPr>
                <w:rFonts w:cstheme="minorHAnsi"/>
                <w:color w:val="505050"/>
              </w:rPr>
            </w:pPr>
            <w:r w:rsidRPr="00821F48">
              <w:rPr>
                <w:rFonts w:cstheme="minorHAnsi"/>
                <w:color w:val="505050"/>
              </w:rPr>
              <w:t>4. Air Traffic Flow Management (ATFM)</w:t>
            </w:r>
          </w:p>
          <w:p w14:paraId="5B73879B" w14:textId="77777777" w:rsidR="00821F48" w:rsidRPr="00821F48" w:rsidRDefault="00821F48" w:rsidP="00821F48">
            <w:pPr>
              <w:rPr>
                <w:rFonts w:cstheme="minorHAnsi"/>
                <w:color w:val="505050"/>
              </w:rPr>
            </w:pPr>
            <w:r w:rsidRPr="00821F48">
              <w:rPr>
                <w:rFonts w:cstheme="minorHAnsi"/>
                <w:color w:val="505050"/>
              </w:rPr>
              <w:t>5. ATM Performance Measurement</w:t>
            </w:r>
          </w:p>
          <w:p w14:paraId="7A263626" w14:textId="77777777" w:rsidR="00821F48" w:rsidRPr="00821F48" w:rsidRDefault="00821F48" w:rsidP="00821F48">
            <w:pPr>
              <w:rPr>
                <w:rFonts w:cstheme="minorHAnsi"/>
                <w:color w:val="505050"/>
              </w:rPr>
            </w:pPr>
            <w:r w:rsidRPr="00821F48">
              <w:rPr>
                <w:rFonts w:cstheme="minorHAnsi"/>
                <w:color w:val="505050"/>
              </w:rPr>
              <w:t>6. Essential Data Sources in Aviation and ATM</w:t>
            </w:r>
          </w:p>
          <w:p w14:paraId="45793AB9" w14:textId="26F83EC6" w:rsidR="001F5B69" w:rsidRPr="00821F48" w:rsidRDefault="00821F48" w:rsidP="00821F48">
            <w:pPr>
              <w:rPr>
                <w:rFonts w:cstheme="minorHAnsi"/>
                <w:color w:val="505050"/>
              </w:rPr>
            </w:pPr>
            <w:r w:rsidRPr="00821F48">
              <w:rPr>
                <w:rFonts w:cstheme="minorHAnsi"/>
                <w:color w:val="505050"/>
              </w:rPr>
              <w:t>7. Future concepts in ATM</w:t>
            </w:r>
          </w:p>
        </w:tc>
      </w:tr>
      <w:tr w:rsidR="00A61848" w:rsidRPr="00A61848" w14:paraId="554288B4" w14:textId="77777777" w:rsidTr="00821F48">
        <w:tc>
          <w:tcPr>
            <w:tcW w:w="1838" w:type="dxa"/>
          </w:tcPr>
          <w:p w14:paraId="51B8425B" w14:textId="23407CB7" w:rsidR="00A61848" w:rsidRPr="00A61848" w:rsidRDefault="001F5B69" w:rsidP="001C0A6F">
            <w:pPr>
              <w:rPr>
                <w:rFonts w:cstheme="minorHAnsi"/>
                <w:color w:val="505050"/>
              </w:rPr>
            </w:pPr>
            <w:r>
              <w:rPr>
                <w:rFonts w:cstheme="minorHAnsi"/>
                <w:color w:val="505050"/>
              </w:rPr>
              <w:t xml:space="preserve">Contributing </w:t>
            </w:r>
            <w:r w:rsidR="00A61848" w:rsidRPr="00A61848">
              <w:rPr>
                <w:rFonts w:cstheme="minorHAnsi"/>
                <w:color w:val="505050"/>
              </w:rPr>
              <w:t>authors</w:t>
            </w:r>
          </w:p>
        </w:tc>
        <w:tc>
          <w:tcPr>
            <w:tcW w:w="7178" w:type="dxa"/>
          </w:tcPr>
          <w:p w14:paraId="0EAC2F4E" w14:textId="61B8EAF1" w:rsidR="00A61848" w:rsidRDefault="001F5B69" w:rsidP="001C0A6F">
            <w:pPr>
              <w:rPr>
                <w:rFonts w:cstheme="minorHAnsi"/>
                <w:color w:val="505050"/>
              </w:rPr>
            </w:pPr>
            <w:r w:rsidRPr="001F5B69">
              <w:rPr>
                <w:rFonts w:cstheme="minorHAnsi"/>
                <w:color w:val="505050"/>
              </w:rPr>
              <w:t>Fedja Netjasov</w:t>
            </w:r>
            <w:r>
              <w:rPr>
                <w:rFonts w:cstheme="minorHAnsi"/>
                <w:color w:val="505050"/>
              </w:rPr>
              <w:t xml:space="preserve">, </w:t>
            </w:r>
            <w:r w:rsidRPr="001F5B69">
              <w:rPr>
                <w:rFonts w:cstheme="minorHAnsi"/>
                <w:color w:val="505050"/>
              </w:rPr>
              <w:t>University of Belgrade – Faculty of Transport and Traffic</w:t>
            </w:r>
          </w:p>
          <w:p w14:paraId="5684DF33" w14:textId="77777777" w:rsidR="001F5B69" w:rsidRDefault="001F5B69" w:rsidP="001C0A6F">
            <w:pPr>
              <w:rPr>
                <w:rFonts w:cstheme="minorHAnsi"/>
                <w:color w:val="505050"/>
              </w:rPr>
            </w:pPr>
            <w:r w:rsidRPr="001F5B69">
              <w:rPr>
                <w:rFonts w:cstheme="minorHAnsi"/>
                <w:color w:val="505050"/>
              </w:rPr>
              <w:t xml:space="preserve">Tatjana </w:t>
            </w:r>
            <w:proofErr w:type="spellStart"/>
            <w:r w:rsidRPr="001F5B69">
              <w:rPr>
                <w:rFonts w:cstheme="minorHAnsi"/>
                <w:color w:val="505050"/>
              </w:rPr>
              <w:t>Bolić</w:t>
            </w:r>
            <w:proofErr w:type="spellEnd"/>
            <w:r>
              <w:rPr>
                <w:rFonts w:cstheme="minorHAnsi"/>
                <w:color w:val="505050"/>
              </w:rPr>
              <w:t xml:space="preserve">, </w:t>
            </w:r>
            <w:r w:rsidRPr="001F5B69">
              <w:rPr>
                <w:rFonts w:cstheme="minorHAnsi"/>
                <w:color w:val="505050"/>
              </w:rPr>
              <w:t>University of Westminster</w:t>
            </w:r>
          </w:p>
          <w:p w14:paraId="2FF66BCF" w14:textId="14CBB8CF" w:rsidR="001F5B69" w:rsidRDefault="001F5B69" w:rsidP="001C0A6F">
            <w:pPr>
              <w:rPr>
                <w:rFonts w:cstheme="minorHAnsi"/>
                <w:color w:val="505050"/>
              </w:rPr>
            </w:pPr>
            <w:r w:rsidRPr="001F5B69">
              <w:rPr>
                <w:rFonts w:cstheme="minorHAnsi"/>
                <w:color w:val="505050"/>
              </w:rPr>
              <w:t>Radosav Jovanović</w:t>
            </w:r>
            <w:r w:rsidR="00821F48">
              <w:rPr>
                <w:rFonts w:cstheme="minorHAnsi"/>
                <w:color w:val="505050"/>
              </w:rPr>
              <w:t xml:space="preserve">, </w:t>
            </w:r>
            <w:r w:rsidR="00821F48" w:rsidRPr="00821F48">
              <w:rPr>
                <w:rFonts w:cstheme="minorHAnsi"/>
                <w:color w:val="505050"/>
              </w:rPr>
              <w:t>University of Belgrade – Faculty of Transport and Traffic</w:t>
            </w:r>
          </w:p>
          <w:p w14:paraId="5F2A8057" w14:textId="77777777" w:rsidR="001F5B69" w:rsidRDefault="001F5B69" w:rsidP="001C0A6F">
            <w:pPr>
              <w:rPr>
                <w:rFonts w:cstheme="minorHAnsi"/>
                <w:color w:val="505050"/>
              </w:rPr>
            </w:pPr>
            <w:r w:rsidRPr="001F5B69">
              <w:rPr>
                <w:rFonts w:cstheme="minorHAnsi"/>
                <w:color w:val="505050"/>
              </w:rPr>
              <w:t>Graham Tanner</w:t>
            </w:r>
            <w:r>
              <w:rPr>
                <w:rFonts w:cstheme="minorHAnsi"/>
                <w:color w:val="505050"/>
              </w:rPr>
              <w:t xml:space="preserve">, </w:t>
            </w:r>
            <w:r w:rsidRPr="001F5B69">
              <w:rPr>
                <w:rFonts w:cstheme="minorHAnsi"/>
                <w:color w:val="505050"/>
              </w:rPr>
              <w:t>University of Westminster</w:t>
            </w:r>
          </w:p>
          <w:p w14:paraId="6D0971D9" w14:textId="272B183A" w:rsidR="001F5B69" w:rsidRDefault="001F5B69" w:rsidP="001C0A6F">
            <w:pPr>
              <w:rPr>
                <w:rFonts w:cstheme="minorHAnsi"/>
                <w:color w:val="505050"/>
              </w:rPr>
            </w:pPr>
            <w:r w:rsidRPr="001F5B69">
              <w:rPr>
                <w:rFonts w:cstheme="minorHAnsi"/>
                <w:color w:val="505050"/>
              </w:rPr>
              <w:t>Luis Delgado</w:t>
            </w:r>
            <w:r>
              <w:rPr>
                <w:rFonts w:cstheme="minorHAnsi"/>
                <w:color w:val="505050"/>
              </w:rPr>
              <w:t xml:space="preserve">, </w:t>
            </w:r>
            <w:r w:rsidRPr="001F5B69">
              <w:rPr>
                <w:rFonts w:cstheme="minorHAnsi"/>
                <w:color w:val="505050"/>
              </w:rPr>
              <w:t>University of Westminster</w:t>
            </w:r>
          </w:p>
          <w:p w14:paraId="24D68895" w14:textId="01AF935C" w:rsidR="001F5B69" w:rsidRPr="00A61848" w:rsidRDefault="001F5B69" w:rsidP="001C0A6F">
            <w:pPr>
              <w:rPr>
                <w:rFonts w:cstheme="minorHAnsi"/>
                <w:color w:val="505050"/>
              </w:rPr>
            </w:pPr>
            <w:r w:rsidRPr="001F5B69">
              <w:rPr>
                <w:rFonts w:cstheme="minorHAnsi"/>
                <w:color w:val="505050"/>
              </w:rPr>
              <w:t>Andrew Cook</w:t>
            </w:r>
            <w:r>
              <w:rPr>
                <w:rFonts w:cstheme="minorHAnsi"/>
                <w:color w:val="505050"/>
              </w:rPr>
              <w:t xml:space="preserve">, </w:t>
            </w:r>
            <w:r w:rsidRPr="001F5B69">
              <w:rPr>
                <w:rFonts w:cstheme="minorHAnsi"/>
                <w:color w:val="505050"/>
              </w:rPr>
              <w:t>University of Westminster</w:t>
            </w:r>
          </w:p>
        </w:tc>
      </w:tr>
    </w:tbl>
    <w:p w14:paraId="090D75B7" w14:textId="53B8FC35" w:rsidR="00ED2E5A" w:rsidRDefault="00ED2E5A" w:rsidP="00E82055">
      <w:pPr>
        <w:rPr>
          <w:rFonts w:cstheme="minorHAnsi"/>
          <w:color w:val="505050"/>
        </w:rPr>
      </w:pPr>
    </w:p>
    <w:p w14:paraId="39227DFB" w14:textId="77777777" w:rsidR="00821F48" w:rsidRDefault="00821F48" w:rsidP="00E82055">
      <w:pPr>
        <w:rPr>
          <w:rFonts w:cstheme="minorHAnsi"/>
          <w:color w:val="505050"/>
        </w:rPr>
      </w:pPr>
    </w:p>
    <w:p w14:paraId="269ADE20" w14:textId="77777777" w:rsidR="00A61848" w:rsidRPr="00A70B0D" w:rsidRDefault="00A61848" w:rsidP="00A61848">
      <w:pPr>
        <w:rPr>
          <w:rFonts w:cstheme="minorHAnsi"/>
          <w:b/>
          <w:bCs/>
          <w:color w:val="505050"/>
          <w:sz w:val="24"/>
          <w:szCs w:val="24"/>
        </w:rPr>
      </w:pPr>
      <w:r w:rsidRPr="00A70B0D">
        <w:rPr>
          <w:rFonts w:cstheme="minorHAnsi"/>
          <w:b/>
          <w:bCs/>
          <w:color w:val="505050"/>
          <w:sz w:val="24"/>
          <w:szCs w:val="24"/>
        </w:rPr>
        <w:t>Introductory lecture provided by the Engage KTN</w:t>
      </w:r>
    </w:p>
    <w:p w14:paraId="5436A06A" w14:textId="734A5534" w:rsidR="00A61848" w:rsidRPr="00A61848" w:rsidRDefault="00A61848" w:rsidP="00A61848">
      <w:pPr>
        <w:rPr>
          <w:rFonts w:cstheme="minorHAnsi"/>
          <w:color w:val="505050"/>
        </w:rPr>
      </w:pPr>
      <w:r w:rsidRPr="00A61848">
        <w:rPr>
          <w:rFonts w:cstheme="minorHAnsi"/>
          <w:color w:val="505050"/>
        </w:rPr>
        <w:t>Non-commercial use only. These lecture slides are provided for not-for-profit, educational use only. The content may not be adapted or changed, and the source must be recognised.</w:t>
      </w:r>
    </w:p>
    <w:p w14:paraId="4F07A838" w14:textId="410ABB1C" w:rsidR="00A61848" w:rsidRPr="00821F48" w:rsidRDefault="0066470B" w:rsidP="00A61848">
      <w:pPr>
        <w:rPr>
          <w:rFonts w:cstheme="minorHAnsi"/>
          <w:b/>
          <w:bCs/>
          <w:color w:val="505050"/>
        </w:rPr>
      </w:pPr>
      <w:hyperlink r:id="rId8" w:history="1">
        <w:r w:rsidR="00A61848" w:rsidRPr="00821F48">
          <w:rPr>
            <w:rStyle w:val="Hyperlink"/>
            <w:rFonts w:cstheme="minorHAnsi"/>
            <w:b/>
            <w:bCs/>
          </w:rPr>
          <w:t>engagektn.com</w:t>
        </w:r>
      </w:hyperlink>
      <w:r w:rsidR="00A61848" w:rsidRPr="00821F48">
        <w:rPr>
          <w:rFonts w:cstheme="minorHAnsi"/>
          <w:b/>
          <w:bCs/>
          <w:color w:val="505050"/>
        </w:rPr>
        <w:t xml:space="preserve">  /  </w:t>
      </w:r>
      <w:hyperlink r:id="rId9" w:history="1">
        <w:r w:rsidR="00A61848" w:rsidRPr="00821F48">
          <w:rPr>
            <w:rStyle w:val="Hyperlink"/>
            <w:rFonts w:cstheme="minorHAnsi"/>
            <w:b/>
            <w:bCs/>
          </w:rPr>
          <w:t>wikiengagektn.com</w:t>
        </w:r>
      </w:hyperlink>
    </w:p>
    <w:p w14:paraId="248BD070" w14:textId="18E4B6E5" w:rsidR="00A61848" w:rsidRDefault="00A61848" w:rsidP="00E82055">
      <w:pPr>
        <w:rPr>
          <w:rFonts w:cstheme="minorHAnsi"/>
          <w:color w:val="505050"/>
        </w:rPr>
      </w:pPr>
    </w:p>
    <w:p w14:paraId="6A01FD1A" w14:textId="6957C61B" w:rsidR="00821F48" w:rsidRDefault="00821F48" w:rsidP="00E82055">
      <w:pPr>
        <w:rPr>
          <w:rFonts w:cstheme="minorHAnsi"/>
          <w:color w:val="505050"/>
        </w:rPr>
      </w:pPr>
    </w:p>
    <w:p w14:paraId="6757D6B8" w14:textId="08052051" w:rsidR="00821F48" w:rsidRPr="00725A87" w:rsidRDefault="00725A87" w:rsidP="00E82055">
      <w:pPr>
        <w:rPr>
          <w:rFonts w:cstheme="minorHAnsi"/>
          <w:b/>
          <w:bCs/>
          <w:color w:val="505050"/>
          <w:sz w:val="24"/>
          <w:szCs w:val="24"/>
        </w:rPr>
      </w:pPr>
      <w:r>
        <w:rPr>
          <w:rFonts w:cstheme="minorHAnsi"/>
          <w:b/>
          <w:bCs/>
          <w:color w:val="505050"/>
          <w:sz w:val="24"/>
          <w:szCs w:val="24"/>
        </w:rPr>
        <w:t>A</w:t>
      </w:r>
      <w:r w:rsidR="00596B6D" w:rsidRPr="00725A87">
        <w:rPr>
          <w:rFonts w:cstheme="minorHAnsi"/>
          <w:b/>
          <w:bCs/>
          <w:color w:val="505050"/>
          <w:sz w:val="24"/>
          <w:szCs w:val="24"/>
        </w:rPr>
        <w:t>dditional sources of information</w:t>
      </w:r>
    </w:p>
    <w:p w14:paraId="212C3DBB" w14:textId="7B990301" w:rsidR="00821F48" w:rsidRPr="00725A87" w:rsidRDefault="00725A87" w:rsidP="00E82055">
      <w:pPr>
        <w:rPr>
          <w:rFonts w:cstheme="minorHAnsi"/>
          <w:b/>
          <w:bCs/>
          <w:i/>
          <w:iCs/>
          <w:color w:val="505050"/>
        </w:rPr>
      </w:pPr>
      <w:r w:rsidRPr="00725A87">
        <w:rPr>
          <w:rFonts w:cstheme="minorHAnsi"/>
          <w:b/>
          <w:bCs/>
          <w:i/>
          <w:iCs/>
          <w:color w:val="505050"/>
        </w:rPr>
        <w:t>Articles</w:t>
      </w:r>
    </w:p>
    <w:p w14:paraId="1280A7F1" w14:textId="77777777" w:rsidR="00EA1F46" w:rsidRPr="00EA1F46" w:rsidRDefault="00EA1F46" w:rsidP="00EA1F46">
      <w:pPr>
        <w:rPr>
          <w:rFonts w:cstheme="minorHAnsi"/>
          <w:color w:val="505050"/>
        </w:rPr>
      </w:pPr>
      <w:proofErr w:type="spellStart"/>
      <w:r w:rsidRPr="00EA1F46">
        <w:rPr>
          <w:rFonts w:cstheme="minorHAnsi"/>
          <w:color w:val="505050"/>
        </w:rPr>
        <w:t>Arblaster</w:t>
      </w:r>
      <w:proofErr w:type="spellEnd"/>
      <w:r w:rsidRPr="00EA1F46">
        <w:rPr>
          <w:rFonts w:cstheme="minorHAnsi"/>
          <w:color w:val="505050"/>
        </w:rPr>
        <w:t>, M. (2018). Air traffic management - economics, regulation and governance. Elsevier, ISBN 978-0-12-811118-5.</w:t>
      </w:r>
    </w:p>
    <w:p w14:paraId="6CB78816" w14:textId="694D9AA5" w:rsidR="00EA1F46" w:rsidRPr="00EA1F46" w:rsidRDefault="00EA1F46" w:rsidP="00EA1F46">
      <w:pPr>
        <w:rPr>
          <w:rFonts w:cstheme="minorHAnsi"/>
          <w:color w:val="505050"/>
        </w:rPr>
      </w:pPr>
      <w:proofErr w:type="spellStart"/>
      <w:r w:rsidRPr="00EA1F46">
        <w:rPr>
          <w:rFonts w:cstheme="minorHAnsi"/>
          <w:color w:val="505050"/>
        </w:rPr>
        <w:t>Bolić</w:t>
      </w:r>
      <w:proofErr w:type="spellEnd"/>
      <w:r w:rsidRPr="00EA1F46">
        <w:rPr>
          <w:rFonts w:cstheme="minorHAnsi"/>
          <w:color w:val="505050"/>
        </w:rPr>
        <w:t xml:space="preserve">, B. and Ravenhill, P. (2021). SESAR: The Past, Present, and Future of European Air Traffic Management Research, </w:t>
      </w:r>
      <w:hyperlink r:id="rId10" w:history="1">
        <w:r w:rsidRPr="000D7E41">
          <w:rPr>
            <w:rStyle w:val="Hyperlink"/>
            <w:rFonts w:cstheme="minorHAnsi"/>
          </w:rPr>
          <w:t>https://www.sciencedirect.com/science/article/pii/S2095809921000503</w:t>
        </w:r>
      </w:hyperlink>
    </w:p>
    <w:p w14:paraId="57ECB564" w14:textId="1851A35F" w:rsidR="00EA1F46" w:rsidRPr="00EA1F46" w:rsidRDefault="00EA1F46" w:rsidP="00EA1F46">
      <w:pPr>
        <w:rPr>
          <w:rFonts w:cstheme="minorHAnsi"/>
          <w:color w:val="505050"/>
        </w:rPr>
      </w:pPr>
      <w:r w:rsidRPr="00EA1F46">
        <w:rPr>
          <w:rFonts w:cstheme="minorHAnsi"/>
          <w:color w:val="505050"/>
        </w:rPr>
        <w:t xml:space="preserve">Butler, V. (2008). Increasing Airport Capacity Without Increasing Airport Size, </w:t>
      </w:r>
      <w:hyperlink r:id="rId11" w:history="1">
        <w:r w:rsidRPr="000D7E41">
          <w:rPr>
            <w:rStyle w:val="Hyperlink"/>
            <w:rFonts w:cstheme="minorHAnsi"/>
          </w:rPr>
          <w:t>http://research.policyarchive.org/5778.pdf</w:t>
        </w:r>
      </w:hyperlink>
    </w:p>
    <w:p w14:paraId="2EF7B1D8" w14:textId="383C5592" w:rsidR="00EA1F46" w:rsidRPr="00EA1F46" w:rsidRDefault="00EA1F46" w:rsidP="00EA1F46">
      <w:pPr>
        <w:rPr>
          <w:rFonts w:cstheme="minorHAnsi"/>
          <w:color w:val="505050"/>
        </w:rPr>
      </w:pPr>
      <w:r w:rsidRPr="00EA1F46">
        <w:rPr>
          <w:rFonts w:cstheme="minorHAnsi"/>
          <w:color w:val="505050"/>
        </w:rPr>
        <w:lastRenderedPageBreak/>
        <w:t xml:space="preserve">Cook, A., </w:t>
      </w:r>
      <w:proofErr w:type="spellStart"/>
      <w:r w:rsidRPr="00EA1F46">
        <w:rPr>
          <w:rFonts w:cstheme="minorHAnsi"/>
          <w:color w:val="505050"/>
        </w:rPr>
        <w:t>Belkoura</w:t>
      </w:r>
      <w:proofErr w:type="spellEnd"/>
      <w:r w:rsidRPr="00EA1F46">
        <w:rPr>
          <w:rFonts w:cstheme="minorHAnsi"/>
          <w:color w:val="505050"/>
        </w:rPr>
        <w:t xml:space="preserve">, S. and Zanin, M. (2017). ATM performance measurement in Europe, the US and China, Chinese Journal of Aeronautics, 30 (2), 479-490. ISSN 1000-9361, </w:t>
      </w:r>
      <w:hyperlink r:id="rId12" w:history="1">
        <w:r w:rsidRPr="000D7E41">
          <w:rPr>
            <w:rStyle w:val="Hyperlink"/>
            <w:rFonts w:cstheme="minorHAnsi"/>
          </w:rPr>
          <w:t>http://authors.elsevier.com/sd/article/S1000936117300237</w:t>
        </w:r>
      </w:hyperlink>
    </w:p>
    <w:p w14:paraId="6F6E7040" w14:textId="77777777" w:rsidR="00EA1F46" w:rsidRPr="00EA1F46" w:rsidRDefault="00EA1F46" w:rsidP="00EA1F46">
      <w:pPr>
        <w:rPr>
          <w:rFonts w:cstheme="minorHAnsi"/>
          <w:color w:val="505050"/>
        </w:rPr>
      </w:pPr>
      <w:r w:rsidRPr="00EA1F46">
        <w:rPr>
          <w:rFonts w:cstheme="minorHAnsi"/>
          <w:color w:val="505050"/>
        </w:rPr>
        <w:t>Cook, A., Tanner, G. and Zanin, M. (2013). Towards superior air transport performance metrics – imperatives and methods. Journal of Aerospace Operations, 2, 3–19.</w:t>
      </w:r>
    </w:p>
    <w:p w14:paraId="7AD53DB5" w14:textId="77777777" w:rsidR="00EA1F46" w:rsidRPr="00EA1F46" w:rsidRDefault="00EA1F46" w:rsidP="00EA1F46">
      <w:pPr>
        <w:rPr>
          <w:rFonts w:cstheme="minorHAnsi"/>
          <w:color w:val="505050"/>
        </w:rPr>
      </w:pPr>
      <w:proofErr w:type="spellStart"/>
      <w:r w:rsidRPr="00EA1F46">
        <w:rPr>
          <w:rFonts w:cstheme="minorHAnsi"/>
          <w:color w:val="505050"/>
        </w:rPr>
        <w:t>Enea</w:t>
      </w:r>
      <w:proofErr w:type="spellEnd"/>
      <w:r w:rsidRPr="00EA1F46">
        <w:rPr>
          <w:rFonts w:cstheme="minorHAnsi"/>
          <w:color w:val="505050"/>
        </w:rPr>
        <w:t xml:space="preserve">, G. and </w:t>
      </w:r>
      <w:proofErr w:type="spellStart"/>
      <w:r w:rsidRPr="00EA1F46">
        <w:rPr>
          <w:rFonts w:cstheme="minorHAnsi"/>
          <w:color w:val="505050"/>
        </w:rPr>
        <w:t>Porretta</w:t>
      </w:r>
      <w:proofErr w:type="spellEnd"/>
      <w:r w:rsidRPr="00EA1F46">
        <w:rPr>
          <w:rFonts w:cstheme="minorHAnsi"/>
          <w:color w:val="505050"/>
        </w:rPr>
        <w:t>, M. (2012). A comparison of 4D-trajectory operations envisioned for NextGen and SESAR, some preliminary findings, 28th ICAS.</w:t>
      </w:r>
    </w:p>
    <w:p w14:paraId="61AD4FB3" w14:textId="56D0693B" w:rsidR="00EA1F46" w:rsidRPr="00EA1F46" w:rsidRDefault="00EA1F46" w:rsidP="00EA1F46">
      <w:pPr>
        <w:rPr>
          <w:rFonts w:cstheme="minorHAnsi"/>
          <w:color w:val="505050"/>
        </w:rPr>
      </w:pPr>
      <w:r w:rsidRPr="00EA1F46">
        <w:rPr>
          <w:rFonts w:cstheme="minorHAnsi"/>
          <w:color w:val="505050"/>
        </w:rPr>
        <w:t xml:space="preserve">Franco, A., Rivas, D. and Valenzuela A. (2018). Optimal Aircraft Path Planning in a Structured Airspace Using Ensemble Weather Forecasts, 8th SESAR Innovation Days – Salzburg – 3-7 December 2018, </w:t>
      </w:r>
      <w:hyperlink r:id="rId13" w:history="1">
        <w:r w:rsidRPr="000D7E41">
          <w:rPr>
            <w:rStyle w:val="Hyperlink"/>
            <w:rFonts w:cstheme="minorHAnsi"/>
          </w:rPr>
          <w:t>https://www.sesarju.eu/sesarinnovationdays</w:t>
        </w:r>
      </w:hyperlink>
    </w:p>
    <w:p w14:paraId="50D7651C" w14:textId="77777777" w:rsidR="00EA1F46" w:rsidRPr="00EA1F46" w:rsidRDefault="00EA1F46" w:rsidP="00EA1F46">
      <w:pPr>
        <w:rPr>
          <w:rFonts w:cstheme="minorHAnsi"/>
          <w:color w:val="505050"/>
        </w:rPr>
      </w:pPr>
      <w:r w:rsidRPr="00EA1F46">
        <w:rPr>
          <w:rFonts w:cstheme="minorHAnsi"/>
          <w:color w:val="505050"/>
        </w:rPr>
        <w:t xml:space="preserve">Hof, H., </w:t>
      </w:r>
      <w:proofErr w:type="spellStart"/>
      <w:r w:rsidRPr="00EA1F46">
        <w:rPr>
          <w:rFonts w:cstheme="minorHAnsi"/>
          <w:color w:val="505050"/>
        </w:rPr>
        <w:t>Flohr</w:t>
      </w:r>
      <w:proofErr w:type="spellEnd"/>
      <w:r w:rsidRPr="00EA1F46">
        <w:rPr>
          <w:rFonts w:cstheme="minorHAnsi"/>
          <w:color w:val="505050"/>
        </w:rPr>
        <w:t>, R., Nunez, O. and Garrity, R. (2014). ICAO working paper – Air Traffic Management Requirements and Performance Panel (ATMRPP) - 27th Working group meeting – Trajectory Based Operation (TBO) – Time adherence in TBO, 14 October 2014.</w:t>
      </w:r>
    </w:p>
    <w:p w14:paraId="724ED044" w14:textId="77777777" w:rsidR="00EA1F46" w:rsidRPr="00EA1F46" w:rsidRDefault="00EA1F46" w:rsidP="00EA1F46">
      <w:pPr>
        <w:rPr>
          <w:rFonts w:cstheme="minorHAnsi"/>
          <w:color w:val="505050"/>
        </w:rPr>
      </w:pPr>
      <w:r w:rsidRPr="00EA1F46">
        <w:rPr>
          <w:rFonts w:cstheme="minorHAnsi"/>
          <w:color w:val="505050"/>
        </w:rPr>
        <w:t>Liu, P.B., Hansen, M. and Mukherjee, A. (2008). Scenario-based air traffic flow management: From theory to practice, Transportation Research Part B, Vol. 42, 2008, p.p. 685-702.</w:t>
      </w:r>
    </w:p>
    <w:p w14:paraId="5498AC86" w14:textId="77777777" w:rsidR="00EA1F46" w:rsidRPr="00EA1F46" w:rsidRDefault="00EA1F46" w:rsidP="00EA1F46">
      <w:pPr>
        <w:rPr>
          <w:rFonts w:cstheme="minorHAnsi"/>
          <w:color w:val="505050"/>
        </w:rPr>
      </w:pPr>
      <w:r w:rsidRPr="00EA1F46">
        <w:rPr>
          <w:rFonts w:cstheme="minorHAnsi"/>
          <w:color w:val="505050"/>
        </w:rPr>
        <w:t>Manley, B. and Sherry, L. (2008). The Impact of Ground Delay Program (GDP) Rationing Rules on Passenger and Airline Equity, 3rd International Conference on Research in Air Transportation, ICRAT 2008, Fairfax, VA, June 01-04, 2008.</w:t>
      </w:r>
    </w:p>
    <w:p w14:paraId="12EE59CB" w14:textId="1E096F4F" w:rsidR="00821F48" w:rsidRDefault="00EA1F46" w:rsidP="00EA1F46">
      <w:pPr>
        <w:rPr>
          <w:rFonts w:cstheme="minorHAnsi"/>
          <w:color w:val="505050"/>
        </w:rPr>
      </w:pPr>
      <w:r w:rsidRPr="00EA1F46">
        <w:rPr>
          <w:rFonts w:cstheme="minorHAnsi"/>
          <w:color w:val="505050"/>
        </w:rPr>
        <w:t xml:space="preserve">Valenzuela, A., Franco, A., Rivas, D., García-Heras, J. and Soler, M. (2017). Effects of Reducing Wind-Induced Trajectory Uncertainty on Sector Demand, SESAR Innovation Days 2017, </w:t>
      </w:r>
      <w:hyperlink r:id="rId14" w:history="1">
        <w:r w:rsidRPr="000D7E41">
          <w:rPr>
            <w:rStyle w:val="Hyperlink"/>
            <w:rFonts w:cstheme="minorHAnsi"/>
          </w:rPr>
          <w:t>https://www.sesarju.eu/sesarinnovationdays</w:t>
        </w:r>
      </w:hyperlink>
    </w:p>
    <w:p w14:paraId="204772E0" w14:textId="77777777" w:rsidR="00EA1F46" w:rsidRDefault="00EA1F46" w:rsidP="00EA1F46">
      <w:pPr>
        <w:rPr>
          <w:rFonts w:cstheme="minorHAnsi"/>
          <w:color w:val="505050"/>
        </w:rPr>
      </w:pPr>
    </w:p>
    <w:p w14:paraId="29FAF7C6" w14:textId="5FE213B8" w:rsidR="00725A87" w:rsidRPr="00725A87" w:rsidRDefault="00725A87" w:rsidP="00E82055">
      <w:pPr>
        <w:rPr>
          <w:rFonts w:cstheme="minorHAnsi"/>
          <w:b/>
          <w:bCs/>
          <w:i/>
          <w:iCs/>
          <w:color w:val="505050"/>
        </w:rPr>
      </w:pPr>
      <w:r w:rsidRPr="00725A87">
        <w:rPr>
          <w:rFonts w:cstheme="minorHAnsi"/>
          <w:b/>
          <w:bCs/>
          <w:i/>
          <w:iCs/>
          <w:color w:val="505050"/>
        </w:rPr>
        <w:t>EUROCONTROL</w:t>
      </w:r>
    </w:p>
    <w:p w14:paraId="3286634F" w14:textId="77777777" w:rsidR="00EA1F46" w:rsidRPr="00EA1F46" w:rsidRDefault="00EA1F46" w:rsidP="00EA1F46">
      <w:pPr>
        <w:rPr>
          <w:rFonts w:cstheme="minorHAnsi"/>
          <w:color w:val="505050"/>
        </w:rPr>
      </w:pPr>
      <w:r w:rsidRPr="00EA1F46">
        <w:rPr>
          <w:rFonts w:cstheme="minorHAnsi"/>
          <w:color w:val="505050"/>
        </w:rPr>
        <w:t>EUROCONTROL (2006). Multilateral Agreement Relating to Route Charges.</w:t>
      </w:r>
    </w:p>
    <w:p w14:paraId="689CA00B" w14:textId="7D59837C" w:rsidR="00EA1F46" w:rsidRPr="00EA1F46" w:rsidRDefault="00EA1F46" w:rsidP="00EA1F46">
      <w:pPr>
        <w:rPr>
          <w:rFonts w:cstheme="minorHAnsi"/>
          <w:color w:val="505050"/>
        </w:rPr>
      </w:pPr>
      <w:r w:rsidRPr="00EA1F46">
        <w:rPr>
          <w:rFonts w:cstheme="minorHAnsi"/>
          <w:color w:val="505050"/>
        </w:rPr>
        <w:t xml:space="preserve">EUROCONTROL (2020). ATFCM </w:t>
      </w:r>
      <w:proofErr w:type="spellStart"/>
      <w:r w:rsidRPr="00EA1F46">
        <w:rPr>
          <w:rFonts w:cstheme="minorHAnsi"/>
          <w:color w:val="505050"/>
        </w:rPr>
        <w:t>Users Manual</w:t>
      </w:r>
      <w:proofErr w:type="spellEnd"/>
      <w:r w:rsidRPr="00EA1F46">
        <w:rPr>
          <w:rFonts w:cstheme="minorHAnsi"/>
          <w:color w:val="505050"/>
        </w:rPr>
        <w:t>, Ed.24.0, 23-06-2020.</w:t>
      </w:r>
    </w:p>
    <w:p w14:paraId="5BB4B7BC" w14:textId="77777777" w:rsidR="00EA1F46" w:rsidRPr="00EA1F46" w:rsidRDefault="00EA1F46" w:rsidP="00EA1F46">
      <w:pPr>
        <w:rPr>
          <w:rFonts w:cstheme="minorHAnsi"/>
          <w:color w:val="505050"/>
        </w:rPr>
      </w:pPr>
      <w:r w:rsidRPr="00EA1F46">
        <w:rPr>
          <w:rFonts w:cstheme="minorHAnsi"/>
          <w:color w:val="505050"/>
        </w:rPr>
        <w:t>EUROCONTROL (2020). Conditions of Application of the Route Charges System and Conditions of Payment, Doc. N° 20.60.02, January 2020.</w:t>
      </w:r>
    </w:p>
    <w:p w14:paraId="3EF99D29" w14:textId="77777777" w:rsidR="00EA1F46" w:rsidRPr="00EA1F46" w:rsidRDefault="00EA1F46" w:rsidP="00EA1F46">
      <w:pPr>
        <w:rPr>
          <w:rFonts w:cstheme="minorHAnsi"/>
          <w:color w:val="505050"/>
        </w:rPr>
      </w:pPr>
      <w:r w:rsidRPr="00EA1F46">
        <w:rPr>
          <w:rFonts w:cstheme="minorHAnsi"/>
          <w:color w:val="505050"/>
        </w:rPr>
        <w:t>EUROCONTROL (2020). CRCO, Customer Guide to Charges, January 2020.</w:t>
      </w:r>
    </w:p>
    <w:p w14:paraId="090EFD06" w14:textId="77777777" w:rsidR="00EA1F46" w:rsidRPr="00EA1F46" w:rsidRDefault="00EA1F46" w:rsidP="00EA1F46">
      <w:pPr>
        <w:rPr>
          <w:rFonts w:cstheme="minorHAnsi"/>
          <w:color w:val="505050"/>
        </w:rPr>
      </w:pPr>
      <w:r w:rsidRPr="00EA1F46">
        <w:rPr>
          <w:rFonts w:cstheme="minorHAnsi"/>
          <w:color w:val="505050"/>
        </w:rPr>
        <w:t xml:space="preserve">EUROCONTROL (2020). CRCO, Principles for establishing the cost base for </w:t>
      </w:r>
      <w:proofErr w:type="spellStart"/>
      <w:r w:rsidRPr="00EA1F46">
        <w:rPr>
          <w:rFonts w:cstheme="minorHAnsi"/>
          <w:color w:val="505050"/>
        </w:rPr>
        <w:t>en</w:t>
      </w:r>
      <w:proofErr w:type="spellEnd"/>
      <w:r w:rsidRPr="00EA1F46">
        <w:rPr>
          <w:rFonts w:cstheme="minorHAnsi"/>
          <w:color w:val="505050"/>
        </w:rPr>
        <w:t>-route charges and the calculation of the unit rates, Doc. No 20.60.01, January 2020.</w:t>
      </w:r>
    </w:p>
    <w:p w14:paraId="1F0D7B77" w14:textId="2AE317B5" w:rsidR="00EA1F46" w:rsidRPr="00EA1F46" w:rsidRDefault="00EA1F46" w:rsidP="00EA1F46">
      <w:pPr>
        <w:rPr>
          <w:rFonts w:cstheme="minorHAnsi"/>
          <w:color w:val="505050"/>
        </w:rPr>
      </w:pPr>
      <w:r w:rsidRPr="00EA1F46">
        <w:rPr>
          <w:rFonts w:cstheme="minorHAnsi"/>
          <w:color w:val="505050"/>
        </w:rPr>
        <w:t xml:space="preserve">EUROCONTROL (2020). IFPS </w:t>
      </w:r>
      <w:proofErr w:type="spellStart"/>
      <w:r w:rsidRPr="00EA1F46">
        <w:rPr>
          <w:rFonts w:cstheme="minorHAnsi"/>
          <w:color w:val="505050"/>
        </w:rPr>
        <w:t>Users Manual</w:t>
      </w:r>
      <w:proofErr w:type="spellEnd"/>
      <w:r w:rsidRPr="00EA1F46">
        <w:rPr>
          <w:rFonts w:cstheme="minorHAnsi"/>
          <w:color w:val="505050"/>
        </w:rPr>
        <w:t>, Ed.24.1, 01-12-2020.</w:t>
      </w:r>
    </w:p>
    <w:p w14:paraId="6346451E" w14:textId="411789C0" w:rsidR="00EA1F46" w:rsidRPr="00EA1F46" w:rsidRDefault="00EA1F46" w:rsidP="00EA1F46">
      <w:pPr>
        <w:rPr>
          <w:rFonts w:cstheme="minorHAnsi"/>
          <w:color w:val="505050"/>
        </w:rPr>
      </w:pPr>
      <w:r w:rsidRPr="00EA1F46">
        <w:rPr>
          <w:rFonts w:cstheme="minorHAnsi"/>
          <w:color w:val="505050"/>
        </w:rPr>
        <w:t xml:space="preserve">EUROCONTROL (2020). Network </w:t>
      </w:r>
      <w:r>
        <w:rPr>
          <w:rFonts w:cstheme="minorHAnsi"/>
          <w:color w:val="505050"/>
        </w:rPr>
        <w:t>O</w:t>
      </w:r>
      <w:r w:rsidRPr="00EA1F46">
        <w:rPr>
          <w:rFonts w:cstheme="minorHAnsi"/>
          <w:color w:val="505050"/>
        </w:rPr>
        <w:t xml:space="preserve">perations </w:t>
      </w:r>
      <w:r>
        <w:rPr>
          <w:rFonts w:cstheme="minorHAnsi"/>
          <w:color w:val="505050"/>
        </w:rPr>
        <w:t>R</w:t>
      </w:r>
      <w:r w:rsidRPr="00EA1F46">
        <w:rPr>
          <w:rFonts w:cstheme="minorHAnsi"/>
          <w:color w:val="505050"/>
        </w:rPr>
        <w:t>eport 2019.</w:t>
      </w:r>
    </w:p>
    <w:p w14:paraId="19D67547" w14:textId="77777777" w:rsidR="00EA1F46" w:rsidRPr="00EA1F46" w:rsidRDefault="00EA1F46" w:rsidP="00EA1F46">
      <w:pPr>
        <w:rPr>
          <w:rFonts w:cstheme="minorHAnsi"/>
          <w:color w:val="505050"/>
        </w:rPr>
      </w:pPr>
      <w:r w:rsidRPr="00EA1F46">
        <w:rPr>
          <w:rFonts w:cstheme="minorHAnsi"/>
          <w:color w:val="505050"/>
        </w:rPr>
        <w:t>EUROCONTROL (2020). Performance Review Commission, ATM Cost-Effectiveness (ACE) 2018 Benchmarking Report.</w:t>
      </w:r>
    </w:p>
    <w:p w14:paraId="535DF56A" w14:textId="64E8F7F2" w:rsidR="00EA1F46" w:rsidRPr="00EA1F46" w:rsidRDefault="00EA1F46" w:rsidP="00EA1F46">
      <w:pPr>
        <w:rPr>
          <w:rFonts w:cstheme="minorHAnsi"/>
          <w:color w:val="505050"/>
        </w:rPr>
      </w:pPr>
      <w:r w:rsidRPr="00EA1F46">
        <w:rPr>
          <w:rFonts w:cstheme="minorHAnsi"/>
          <w:color w:val="505050"/>
        </w:rPr>
        <w:t xml:space="preserve">EUROCONTROL Network Operations Portal, </w:t>
      </w:r>
      <w:hyperlink r:id="rId15" w:history="1">
        <w:r w:rsidRPr="000D7E41">
          <w:rPr>
            <w:rStyle w:val="Hyperlink"/>
            <w:rFonts w:cstheme="minorHAnsi"/>
          </w:rPr>
          <w:t>https://www.public.nm.eurocontrol.int/PUBPORTAL/gateway/spec/index.html</w:t>
        </w:r>
      </w:hyperlink>
    </w:p>
    <w:p w14:paraId="569CCE6E" w14:textId="169CE450" w:rsidR="00EA1F46" w:rsidRPr="00EA1F46" w:rsidRDefault="00EA1F46" w:rsidP="00EA1F46">
      <w:pPr>
        <w:rPr>
          <w:rFonts w:cstheme="minorHAnsi"/>
          <w:color w:val="505050"/>
        </w:rPr>
      </w:pPr>
      <w:r w:rsidRPr="00EA1F46">
        <w:rPr>
          <w:rFonts w:cstheme="minorHAnsi"/>
          <w:color w:val="505050"/>
        </w:rPr>
        <w:t xml:space="preserve">EUROCONTROL Performance Review Reports (PRRs), </w:t>
      </w:r>
      <w:hyperlink r:id="rId16" w:history="1">
        <w:r w:rsidRPr="000D7E41">
          <w:rPr>
            <w:rStyle w:val="Hyperlink"/>
            <w:rFonts w:cstheme="minorHAnsi"/>
          </w:rPr>
          <w:t>https://www.eurocontrol.int/library</w:t>
        </w:r>
      </w:hyperlink>
    </w:p>
    <w:p w14:paraId="4B34421A" w14:textId="3F332A24" w:rsidR="00725A87" w:rsidRDefault="00EA1F46" w:rsidP="00EA1F46">
      <w:pPr>
        <w:rPr>
          <w:rFonts w:cstheme="minorHAnsi"/>
          <w:color w:val="505050"/>
        </w:rPr>
      </w:pPr>
      <w:r w:rsidRPr="00EA1F46">
        <w:rPr>
          <w:rFonts w:cstheme="minorHAnsi"/>
          <w:color w:val="505050"/>
        </w:rPr>
        <w:lastRenderedPageBreak/>
        <w:t xml:space="preserve">EUROCONTROL R&amp;D data archive, </w:t>
      </w:r>
      <w:hyperlink r:id="rId17" w:history="1">
        <w:r w:rsidRPr="000D7E41">
          <w:rPr>
            <w:rStyle w:val="Hyperlink"/>
            <w:rFonts w:cstheme="minorHAnsi"/>
          </w:rPr>
          <w:t>https://www.eurocontrol.int/dashboard/rnd-data-archive</w:t>
        </w:r>
      </w:hyperlink>
    </w:p>
    <w:p w14:paraId="088E4B4B" w14:textId="77777777" w:rsidR="00EA1F46" w:rsidRDefault="00EA1F46" w:rsidP="00E82055">
      <w:pPr>
        <w:rPr>
          <w:rFonts w:cstheme="minorHAnsi"/>
          <w:color w:val="505050"/>
        </w:rPr>
      </w:pPr>
    </w:p>
    <w:p w14:paraId="4B713561" w14:textId="567D5110" w:rsidR="00725A87" w:rsidRPr="00725A87" w:rsidRDefault="00725A87" w:rsidP="00E82055">
      <w:pPr>
        <w:rPr>
          <w:rFonts w:cstheme="minorHAnsi"/>
          <w:b/>
          <w:bCs/>
          <w:i/>
          <w:iCs/>
          <w:color w:val="505050"/>
        </w:rPr>
      </w:pPr>
      <w:r w:rsidRPr="00725A87">
        <w:rPr>
          <w:rFonts w:cstheme="minorHAnsi"/>
          <w:b/>
          <w:bCs/>
          <w:i/>
          <w:iCs/>
          <w:color w:val="505050"/>
        </w:rPr>
        <w:t>European Union</w:t>
      </w:r>
    </w:p>
    <w:p w14:paraId="1440036D" w14:textId="77777777" w:rsidR="00EA1F46" w:rsidRPr="00EA1F46" w:rsidRDefault="00EA1F46" w:rsidP="00EA1F46">
      <w:pPr>
        <w:rPr>
          <w:rFonts w:cstheme="minorHAnsi"/>
          <w:color w:val="505050"/>
        </w:rPr>
      </w:pPr>
      <w:r w:rsidRPr="00EA1F46">
        <w:rPr>
          <w:rFonts w:cstheme="minorHAnsi"/>
          <w:color w:val="505050"/>
        </w:rPr>
        <w:t>Council of the European Union (2007). Council regulation (EC) No 219/2007 of 27 February 2007 on the establishment of a Joint Undertaking to develop the new generation European air traffic management system (SESAR). Strasbourg: Council of the European Union.</w:t>
      </w:r>
    </w:p>
    <w:p w14:paraId="4EC58BFD" w14:textId="77777777" w:rsidR="00B40E85" w:rsidRPr="00B40E85" w:rsidRDefault="00B40E85" w:rsidP="00B40E85">
      <w:pPr>
        <w:rPr>
          <w:rFonts w:cstheme="minorHAnsi"/>
          <w:color w:val="505050"/>
        </w:rPr>
      </w:pPr>
      <w:r w:rsidRPr="00B40E85">
        <w:rPr>
          <w:rFonts w:cstheme="minorHAnsi"/>
          <w:color w:val="505050"/>
        </w:rPr>
        <w:t>European Commission (2013). Commission Implementing Regulation (EU) No. 2019/317 of 11 February 2019 laying down a performance and charging scheme in the single European sky and repealing Implementing Regulations (EU) No 390/2013 and (EU) No 391/2013.</w:t>
      </w:r>
    </w:p>
    <w:p w14:paraId="0B984B72" w14:textId="77777777" w:rsidR="00B40E85" w:rsidRPr="00B40E85" w:rsidRDefault="00B40E85" w:rsidP="00B40E85">
      <w:pPr>
        <w:rPr>
          <w:rFonts w:cstheme="minorHAnsi"/>
          <w:color w:val="505050"/>
        </w:rPr>
      </w:pPr>
      <w:r w:rsidRPr="00B40E85">
        <w:rPr>
          <w:rFonts w:cstheme="minorHAnsi"/>
          <w:color w:val="505050"/>
        </w:rPr>
        <w:t>European Commission (2013). Commission Implementing Regulation (EU) No. 391/2013 of 3 May 2013 laying down a common charging scheme for air navigation services.</w:t>
      </w:r>
    </w:p>
    <w:p w14:paraId="6C93026B" w14:textId="77777777" w:rsidR="00B40E85" w:rsidRPr="00B40E85" w:rsidRDefault="00B40E85" w:rsidP="00B40E85">
      <w:pPr>
        <w:rPr>
          <w:rFonts w:cstheme="minorHAnsi"/>
          <w:color w:val="505050"/>
        </w:rPr>
      </w:pPr>
      <w:r w:rsidRPr="00B40E85">
        <w:rPr>
          <w:rFonts w:cstheme="minorHAnsi"/>
          <w:color w:val="505050"/>
        </w:rPr>
        <w:t>European Commission (2013). Commission Implementing Regulation (EU) No. 409/2013 of 3 May 2013 on the definition of common projects, the establishment of governance and the identification of incentives supporting the implementation of the European air traffic management master plan (text with EEA relevance). Brussels: The European Commission.</w:t>
      </w:r>
    </w:p>
    <w:p w14:paraId="1BF874BD" w14:textId="5ED0B0F0" w:rsidR="00EA1F46" w:rsidRDefault="00B40E85" w:rsidP="00B40E85">
      <w:pPr>
        <w:rPr>
          <w:rFonts w:cstheme="minorHAnsi"/>
          <w:color w:val="505050"/>
        </w:rPr>
      </w:pPr>
      <w:r w:rsidRPr="00B40E85">
        <w:rPr>
          <w:rFonts w:cstheme="minorHAnsi"/>
          <w:color w:val="505050"/>
        </w:rPr>
        <w:t>European Commission (2014). Commission Implementing Regulation (EU) No. 716/2014 of 27 June 2014 on the establishment of the pilot common project supporting the implementation of the European air traffic management master plan (text with EEA relevance). Brussels: The European Commission.</w:t>
      </w:r>
    </w:p>
    <w:p w14:paraId="25A33D78" w14:textId="2A313E28" w:rsidR="00EA1F46" w:rsidRPr="00EA1F46" w:rsidRDefault="00EA1F46" w:rsidP="00EA1F46">
      <w:pPr>
        <w:rPr>
          <w:rFonts w:cstheme="minorHAnsi"/>
          <w:color w:val="505050"/>
        </w:rPr>
      </w:pPr>
      <w:r w:rsidRPr="00EA1F46">
        <w:rPr>
          <w:rFonts w:cstheme="minorHAnsi"/>
          <w:color w:val="505050"/>
        </w:rPr>
        <w:t xml:space="preserve">Eurostat, </w:t>
      </w:r>
      <w:hyperlink r:id="rId18" w:history="1">
        <w:r w:rsidRPr="000D7E41">
          <w:rPr>
            <w:rStyle w:val="Hyperlink"/>
            <w:rFonts w:cstheme="minorHAnsi"/>
          </w:rPr>
          <w:t>https://ec.europa.eu/eurostat</w:t>
        </w:r>
      </w:hyperlink>
    </w:p>
    <w:p w14:paraId="5E7EECD2" w14:textId="4E89983A" w:rsidR="00725A87" w:rsidRDefault="00EA1F46" w:rsidP="00EA1F46">
      <w:pPr>
        <w:rPr>
          <w:rFonts w:cstheme="minorHAnsi"/>
          <w:color w:val="505050"/>
        </w:rPr>
      </w:pPr>
      <w:r w:rsidRPr="00EA1F46">
        <w:rPr>
          <w:rFonts w:cstheme="minorHAnsi"/>
          <w:color w:val="505050"/>
        </w:rPr>
        <w:t xml:space="preserve">Single European Sky Data Portal: SES Performance Scheme – Reporting Period dashboards, </w:t>
      </w:r>
      <w:hyperlink r:id="rId19" w:history="1">
        <w:r w:rsidRPr="000D7E41">
          <w:rPr>
            <w:rStyle w:val="Hyperlink"/>
            <w:rFonts w:cstheme="minorHAnsi"/>
          </w:rPr>
          <w:t>https://www.eurocontrol.int/prudata/dashboard/vis/</w:t>
        </w:r>
      </w:hyperlink>
    </w:p>
    <w:p w14:paraId="613B28A7" w14:textId="77777777" w:rsidR="00EA1F46" w:rsidRDefault="00EA1F46" w:rsidP="00E82055">
      <w:pPr>
        <w:rPr>
          <w:rFonts w:cstheme="minorHAnsi"/>
          <w:color w:val="505050"/>
        </w:rPr>
      </w:pPr>
    </w:p>
    <w:p w14:paraId="0CCE7C3D" w14:textId="1E224CCC" w:rsidR="00725A87" w:rsidRPr="00725A87" w:rsidRDefault="00725A87" w:rsidP="00E82055">
      <w:pPr>
        <w:rPr>
          <w:rFonts w:cstheme="minorHAnsi"/>
          <w:b/>
          <w:bCs/>
          <w:i/>
          <w:iCs/>
          <w:color w:val="505050"/>
        </w:rPr>
      </w:pPr>
      <w:r w:rsidRPr="00725A87">
        <w:rPr>
          <w:rFonts w:cstheme="minorHAnsi"/>
          <w:b/>
          <w:bCs/>
          <w:i/>
          <w:iCs/>
          <w:color w:val="505050"/>
        </w:rPr>
        <w:t>International Civil Aviation Organization</w:t>
      </w:r>
    </w:p>
    <w:p w14:paraId="38D8BCEC" w14:textId="77777777" w:rsidR="00CA3962" w:rsidRPr="00CA3962" w:rsidRDefault="00CA3962" w:rsidP="00CA3962">
      <w:pPr>
        <w:rPr>
          <w:rFonts w:cstheme="minorHAnsi"/>
          <w:color w:val="505050"/>
        </w:rPr>
      </w:pPr>
      <w:r w:rsidRPr="00CA3962">
        <w:rPr>
          <w:rFonts w:cstheme="minorHAnsi"/>
          <w:color w:val="505050"/>
        </w:rPr>
        <w:t>ICAO (2018). Annex 11 to the Convention of International Civil Aviation: Air Traffic Services, 15th Ed.</w:t>
      </w:r>
    </w:p>
    <w:p w14:paraId="6DD47782" w14:textId="77777777" w:rsidR="00CA3962" w:rsidRPr="00CA3962" w:rsidRDefault="00CA3962" w:rsidP="00CA3962">
      <w:pPr>
        <w:rPr>
          <w:rFonts w:cstheme="minorHAnsi"/>
          <w:color w:val="505050"/>
        </w:rPr>
      </w:pPr>
      <w:r w:rsidRPr="00CA3962">
        <w:rPr>
          <w:rFonts w:cstheme="minorHAnsi"/>
          <w:color w:val="505050"/>
        </w:rPr>
        <w:t>ICAO (2005). Global Air Traffic Management Operational Concept, Doc 9854, 1st Ed.</w:t>
      </w:r>
    </w:p>
    <w:p w14:paraId="0AF9A4E6" w14:textId="77777777" w:rsidR="00CA3962" w:rsidRPr="00CA3962" w:rsidRDefault="00CA3962" w:rsidP="00CA3962">
      <w:pPr>
        <w:rPr>
          <w:rFonts w:cstheme="minorHAnsi"/>
          <w:color w:val="505050"/>
        </w:rPr>
      </w:pPr>
      <w:r w:rsidRPr="00CA3962">
        <w:rPr>
          <w:rFonts w:cstheme="minorHAnsi"/>
          <w:color w:val="505050"/>
        </w:rPr>
        <w:t>ICAO (2012). ICAO’s Policies on Charges for Airports and Air Navigation Services, Doc 9082, 9th Ed.</w:t>
      </w:r>
    </w:p>
    <w:p w14:paraId="2637C9F9" w14:textId="77777777" w:rsidR="00CA3962" w:rsidRPr="00CA3962" w:rsidRDefault="00CA3962" w:rsidP="00CA3962">
      <w:pPr>
        <w:rPr>
          <w:rFonts w:cstheme="minorHAnsi"/>
          <w:color w:val="505050"/>
        </w:rPr>
      </w:pPr>
      <w:r w:rsidRPr="00CA3962">
        <w:rPr>
          <w:rFonts w:cstheme="minorHAnsi"/>
          <w:color w:val="505050"/>
        </w:rPr>
        <w:t>ICAO (2013). Manual on Air Navigation Services Economics, Doc 9161, 5th Ed.</w:t>
      </w:r>
    </w:p>
    <w:p w14:paraId="454C14B2" w14:textId="77777777" w:rsidR="00CA3962" w:rsidRPr="00CA3962" w:rsidRDefault="00CA3962" w:rsidP="00CA3962">
      <w:pPr>
        <w:rPr>
          <w:rFonts w:cstheme="minorHAnsi"/>
          <w:color w:val="505050"/>
        </w:rPr>
      </w:pPr>
      <w:r w:rsidRPr="00CA3962">
        <w:rPr>
          <w:rFonts w:cstheme="minorHAnsi"/>
          <w:color w:val="505050"/>
        </w:rPr>
        <w:t>ICAO (2009). Manual on Global Performance of the Air Navigation System, Doc 9883, 1st Ed.</w:t>
      </w:r>
    </w:p>
    <w:p w14:paraId="00ED5116" w14:textId="12C2D632" w:rsidR="00725A87" w:rsidRDefault="00CA3962" w:rsidP="00CA3962">
      <w:pPr>
        <w:rPr>
          <w:rFonts w:cstheme="minorHAnsi"/>
          <w:color w:val="505050"/>
        </w:rPr>
      </w:pPr>
      <w:r w:rsidRPr="00CA3962">
        <w:rPr>
          <w:rFonts w:cstheme="minorHAnsi"/>
          <w:color w:val="505050"/>
        </w:rPr>
        <w:t>ICAO (2016). Procedures for Air Navigation Services – Air Traffic Management (‘PANS-ATM’), Doc 4444, 16th Ed.</w:t>
      </w:r>
    </w:p>
    <w:p w14:paraId="4AB9A216" w14:textId="77777777" w:rsidR="00EA1F46" w:rsidRDefault="00EA1F46" w:rsidP="00E82055">
      <w:pPr>
        <w:rPr>
          <w:rFonts w:cstheme="minorHAnsi"/>
          <w:color w:val="505050"/>
        </w:rPr>
      </w:pPr>
    </w:p>
    <w:p w14:paraId="2F5718D8" w14:textId="6178AA6F" w:rsidR="00725A87" w:rsidRPr="00725A87" w:rsidRDefault="00725A87" w:rsidP="00E82055">
      <w:pPr>
        <w:rPr>
          <w:rFonts w:cstheme="minorHAnsi"/>
          <w:b/>
          <w:bCs/>
          <w:i/>
          <w:iCs/>
          <w:color w:val="505050"/>
        </w:rPr>
      </w:pPr>
      <w:r w:rsidRPr="00725A87">
        <w:rPr>
          <w:rFonts w:cstheme="minorHAnsi"/>
          <w:b/>
          <w:bCs/>
          <w:i/>
          <w:iCs/>
          <w:color w:val="505050"/>
        </w:rPr>
        <w:t>Projects</w:t>
      </w:r>
    </w:p>
    <w:p w14:paraId="6540E4F3" w14:textId="268D3BC8" w:rsidR="00EA1F46" w:rsidRPr="00EA1F46" w:rsidRDefault="00EA1F46" w:rsidP="00EA1F46">
      <w:pPr>
        <w:rPr>
          <w:rFonts w:cstheme="minorHAnsi"/>
          <w:color w:val="505050"/>
        </w:rPr>
      </w:pPr>
      <w:r w:rsidRPr="00EA1F46">
        <w:rPr>
          <w:rFonts w:cstheme="minorHAnsi"/>
          <w:color w:val="505050"/>
        </w:rPr>
        <w:t xml:space="preserve">BEACON project, </w:t>
      </w:r>
      <w:hyperlink r:id="rId20" w:history="1">
        <w:r w:rsidRPr="000D7E41">
          <w:rPr>
            <w:rStyle w:val="Hyperlink"/>
            <w:rFonts w:cstheme="minorHAnsi"/>
          </w:rPr>
          <w:t>https://www.beacon-sesar.eu/</w:t>
        </w:r>
      </w:hyperlink>
    </w:p>
    <w:p w14:paraId="059C3677" w14:textId="0E156CA0" w:rsidR="00EA1F46" w:rsidRPr="00EA1F46" w:rsidRDefault="00EA1F46" w:rsidP="00EA1F46">
      <w:pPr>
        <w:rPr>
          <w:rFonts w:cstheme="minorHAnsi"/>
          <w:color w:val="505050"/>
        </w:rPr>
      </w:pPr>
      <w:r w:rsidRPr="00EA1F46">
        <w:rPr>
          <w:rFonts w:cstheme="minorHAnsi"/>
          <w:color w:val="505050"/>
        </w:rPr>
        <w:lastRenderedPageBreak/>
        <w:t xml:space="preserve">FRAMAK project (2014). Final Project Report (Demonstration Report), </w:t>
      </w:r>
      <w:hyperlink r:id="rId21" w:history="1">
        <w:r w:rsidRPr="000D7E41">
          <w:rPr>
            <w:rStyle w:val="Hyperlink"/>
            <w:rFonts w:cstheme="minorHAnsi"/>
          </w:rPr>
          <w:t>https://www.sesarju.eu/sites/default/files/documents/demos/Free%20Route%20Airspace%20Maastricht%20and%20Karlsruhe_FRAMaK_Final%20Report.pdf</w:t>
        </w:r>
      </w:hyperlink>
    </w:p>
    <w:p w14:paraId="4A6A8C2B" w14:textId="744995B8" w:rsidR="00725A87" w:rsidRDefault="00EA1F46" w:rsidP="00EA1F46">
      <w:pPr>
        <w:rPr>
          <w:rFonts w:cstheme="minorHAnsi"/>
          <w:color w:val="505050"/>
        </w:rPr>
      </w:pPr>
      <w:r w:rsidRPr="00EA1F46">
        <w:rPr>
          <w:rFonts w:cstheme="minorHAnsi"/>
          <w:color w:val="505050"/>
        </w:rPr>
        <w:t xml:space="preserve">Modus project, </w:t>
      </w:r>
      <w:hyperlink r:id="rId22" w:history="1">
        <w:r w:rsidRPr="000D7E41">
          <w:rPr>
            <w:rStyle w:val="Hyperlink"/>
            <w:rFonts w:cstheme="minorHAnsi"/>
          </w:rPr>
          <w:t>https://modus-project.eu/</w:t>
        </w:r>
      </w:hyperlink>
    </w:p>
    <w:p w14:paraId="65B7883E" w14:textId="77777777" w:rsidR="00EA1F46" w:rsidRDefault="00EA1F46" w:rsidP="00E82055">
      <w:pPr>
        <w:rPr>
          <w:rFonts w:cstheme="minorHAnsi"/>
          <w:color w:val="505050"/>
        </w:rPr>
      </w:pPr>
    </w:p>
    <w:p w14:paraId="321C108A" w14:textId="6CD2CC49" w:rsidR="00A61848" w:rsidRPr="00725A87" w:rsidRDefault="00725A87" w:rsidP="00E82055">
      <w:pPr>
        <w:rPr>
          <w:rFonts w:cstheme="minorHAnsi"/>
          <w:b/>
          <w:bCs/>
          <w:i/>
          <w:iCs/>
          <w:color w:val="505050"/>
        </w:rPr>
      </w:pPr>
      <w:r w:rsidRPr="00725A87">
        <w:rPr>
          <w:rFonts w:cstheme="minorHAnsi"/>
          <w:b/>
          <w:bCs/>
          <w:i/>
          <w:iCs/>
          <w:color w:val="505050"/>
        </w:rPr>
        <w:t>SESAR</w:t>
      </w:r>
    </w:p>
    <w:p w14:paraId="04AE0FCA" w14:textId="46360D8E" w:rsidR="00EA1F46" w:rsidRPr="00EA1F46" w:rsidRDefault="00EA1F46" w:rsidP="00EA1F46">
      <w:pPr>
        <w:rPr>
          <w:rFonts w:cstheme="minorHAnsi"/>
          <w:color w:val="505050"/>
        </w:rPr>
      </w:pPr>
      <w:r w:rsidRPr="00EA1F46">
        <w:rPr>
          <w:rFonts w:cstheme="minorHAnsi"/>
          <w:color w:val="505050"/>
        </w:rPr>
        <w:t xml:space="preserve">Maturity assessment according to Technology Readiness Level (TRL) steps and V phases, </w:t>
      </w:r>
      <w:hyperlink r:id="rId23" w:history="1">
        <w:r w:rsidRPr="000D7E41">
          <w:rPr>
            <w:rStyle w:val="Hyperlink"/>
            <w:rFonts w:cstheme="minorHAnsi"/>
          </w:rPr>
          <w:t>https://ext.eurocontrol.int/ehp/?q=node/1570</w:t>
        </w:r>
      </w:hyperlink>
    </w:p>
    <w:p w14:paraId="24A072FB" w14:textId="7178E660" w:rsidR="00EA1F46" w:rsidRPr="00EA1F46" w:rsidRDefault="00EA1F46" w:rsidP="00EA1F46">
      <w:pPr>
        <w:rPr>
          <w:rFonts w:cstheme="minorHAnsi"/>
          <w:color w:val="505050"/>
        </w:rPr>
      </w:pPr>
      <w:r w:rsidRPr="00EA1F46">
        <w:rPr>
          <w:rFonts w:cstheme="minorHAnsi"/>
          <w:color w:val="505050"/>
        </w:rPr>
        <w:t xml:space="preserve">SESAR European ATM Master Plan, </w:t>
      </w:r>
      <w:hyperlink r:id="rId24" w:history="1">
        <w:r w:rsidRPr="000D7E41">
          <w:rPr>
            <w:rStyle w:val="Hyperlink"/>
            <w:rFonts w:cstheme="minorHAnsi"/>
          </w:rPr>
          <w:t>https://www.atmmasterplan.eu/</w:t>
        </w:r>
      </w:hyperlink>
    </w:p>
    <w:p w14:paraId="3A67BC4F" w14:textId="0FF772E5" w:rsidR="00EA1F46" w:rsidRPr="00EA1F46" w:rsidRDefault="00EA1F46" w:rsidP="00EA1F46">
      <w:pPr>
        <w:rPr>
          <w:rFonts w:cstheme="minorHAnsi"/>
          <w:color w:val="505050"/>
        </w:rPr>
      </w:pPr>
      <w:r w:rsidRPr="00EA1F46">
        <w:rPr>
          <w:rFonts w:cstheme="minorHAnsi"/>
          <w:color w:val="505050"/>
        </w:rPr>
        <w:t xml:space="preserve">SESAR JU (2019). A proposal for the future architecture of the European airspace, </w:t>
      </w:r>
      <w:hyperlink r:id="rId25" w:history="1">
        <w:r w:rsidRPr="000D7E41">
          <w:rPr>
            <w:rStyle w:val="Hyperlink"/>
            <w:rFonts w:cstheme="minorHAnsi"/>
          </w:rPr>
          <w:t>https://www.sesarju.eu/sites/default/files/2019-05/AAS_FINAL_0.pdf</w:t>
        </w:r>
      </w:hyperlink>
    </w:p>
    <w:p w14:paraId="38AFF439" w14:textId="141ACA2D" w:rsidR="00EA1F46" w:rsidRPr="00EA1F46" w:rsidRDefault="00EA1F46" w:rsidP="00EA1F46">
      <w:pPr>
        <w:rPr>
          <w:rFonts w:cstheme="minorHAnsi"/>
          <w:color w:val="505050"/>
        </w:rPr>
      </w:pPr>
      <w:r w:rsidRPr="00EA1F46">
        <w:rPr>
          <w:rFonts w:cstheme="minorHAnsi"/>
          <w:color w:val="505050"/>
        </w:rPr>
        <w:t xml:space="preserve">SESAR JU (2019). SESAR Solutions Catalogue 2019, </w:t>
      </w:r>
      <w:hyperlink r:id="rId26" w:history="1">
        <w:r w:rsidRPr="000D7E41">
          <w:rPr>
            <w:rStyle w:val="Hyperlink"/>
            <w:rFonts w:cstheme="minorHAnsi"/>
          </w:rPr>
          <w:t>https://www.sesarju.eu/sites/default/files/documents/reports/SESAR_Solutions_Catalogue_2019_web.pdf</w:t>
        </w:r>
      </w:hyperlink>
    </w:p>
    <w:p w14:paraId="5138FA29" w14:textId="12D0D090" w:rsidR="00EA1F46" w:rsidRPr="00EA1F46" w:rsidRDefault="00EA1F46" w:rsidP="00EA1F46">
      <w:pPr>
        <w:rPr>
          <w:rFonts w:cstheme="minorHAnsi"/>
          <w:color w:val="505050"/>
        </w:rPr>
      </w:pPr>
      <w:r w:rsidRPr="00EA1F46">
        <w:rPr>
          <w:rFonts w:cstheme="minorHAnsi"/>
          <w:color w:val="505050"/>
        </w:rPr>
        <w:t xml:space="preserve">SESAR Solutions, </w:t>
      </w:r>
      <w:hyperlink r:id="rId27" w:history="1">
        <w:r w:rsidRPr="000D7E41">
          <w:rPr>
            <w:rStyle w:val="Hyperlink"/>
            <w:rFonts w:cstheme="minorHAnsi"/>
          </w:rPr>
          <w:t>http://www.sesarju.eu/index.php/activities-solutions</w:t>
        </w:r>
      </w:hyperlink>
    </w:p>
    <w:p w14:paraId="3412AB52" w14:textId="532A3121" w:rsidR="00725A87" w:rsidRDefault="00EA1F46" w:rsidP="00EA1F46">
      <w:pPr>
        <w:rPr>
          <w:rFonts w:cstheme="minorHAnsi"/>
          <w:color w:val="505050"/>
        </w:rPr>
      </w:pPr>
      <w:r w:rsidRPr="00EA1F46">
        <w:rPr>
          <w:rFonts w:cstheme="minorHAnsi"/>
          <w:color w:val="505050"/>
        </w:rPr>
        <w:t xml:space="preserve">Strategic Research and Innovation Agenda: Digital European Sky, </w:t>
      </w:r>
      <w:hyperlink r:id="rId28" w:history="1">
        <w:r w:rsidRPr="000D7E41">
          <w:rPr>
            <w:rStyle w:val="Hyperlink"/>
            <w:rFonts w:cstheme="minorHAnsi"/>
          </w:rPr>
          <w:t>https://www.sesarju.eu/sites/default/files/documents/reports/SRIA%20Final.pdf</w:t>
        </w:r>
      </w:hyperlink>
    </w:p>
    <w:p w14:paraId="3E7A9DFF" w14:textId="010C0A0B" w:rsidR="00725A87" w:rsidRDefault="00725A87" w:rsidP="00E82055">
      <w:pPr>
        <w:rPr>
          <w:rFonts w:cstheme="minorHAnsi"/>
          <w:color w:val="505050"/>
        </w:rPr>
      </w:pPr>
    </w:p>
    <w:p w14:paraId="45EA09A2" w14:textId="3E806A30" w:rsidR="00725A87" w:rsidRDefault="00725A87" w:rsidP="00E82055">
      <w:pPr>
        <w:rPr>
          <w:rFonts w:cstheme="minorHAnsi"/>
          <w:color w:val="505050"/>
        </w:rPr>
      </w:pPr>
    </w:p>
    <w:p w14:paraId="5F768CAD" w14:textId="14AB9D7A" w:rsidR="00725A87" w:rsidRDefault="00725A87" w:rsidP="00E82055">
      <w:pPr>
        <w:rPr>
          <w:rFonts w:cstheme="minorHAnsi"/>
          <w:color w:val="505050"/>
        </w:rPr>
      </w:pPr>
    </w:p>
    <w:p w14:paraId="16C506AC" w14:textId="1F9DB48D" w:rsidR="00EA1F46" w:rsidRDefault="00EA1F46" w:rsidP="00E82055">
      <w:pPr>
        <w:rPr>
          <w:rFonts w:cstheme="minorHAnsi"/>
          <w:color w:val="505050"/>
        </w:rPr>
      </w:pPr>
    </w:p>
    <w:p w14:paraId="00244451" w14:textId="0A5D88A8" w:rsidR="00EA1F46" w:rsidRDefault="00EA1F46" w:rsidP="00E82055">
      <w:pPr>
        <w:rPr>
          <w:rFonts w:cstheme="minorHAnsi"/>
          <w:color w:val="505050"/>
        </w:rPr>
      </w:pPr>
    </w:p>
    <w:p w14:paraId="41505579" w14:textId="41EBCCE7" w:rsidR="00EA1F46" w:rsidRDefault="00EA1F46" w:rsidP="00E82055">
      <w:pPr>
        <w:rPr>
          <w:rFonts w:cstheme="minorHAnsi"/>
          <w:color w:val="505050"/>
        </w:rPr>
      </w:pPr>
    </w:p>
    <w:p w14:paraId="0E208F31" w14:textId="1221F30A" w:rsidR="00EA1F46" w:rsidRDefault="00EA1F46" w:rsidP="00E82055">
      <w:pPr>
        <w:rPr>
          <w:rFonts w:cstheme="minorHAnsi"/>
          <w:color w:val="505050"/>
        </w:rPr>
      </w:pPr>
    </w:p>
    <w:p w14:paraId="3B758EDD" w14:textId="27F69206" w:rsidR="00EA1F46" w:rsidRDefault="00EA1F46" w:rsidP="00E82055">
      <w:pPr>
        <w:rPr>
          <w:rFonts w:cstheme="minorHAnsi"/>
          <w:color w:val="505050"/>
        </w:rPr>
      </w:pPr>
    </w:p>
    <w:p w14:paraId="394CAC93" w14:textId="4D854650" w:rsidR="00EA1F46" w:rsidRDefault="00EA1F46" w:rsidP="00E82055">
      <w:pPr>
        <w:rPr>
          <w:rFonts w:cstheme="minorHAnsi"/>
          <w:color w:val="505050"/>
        </w:rPr>
      </w:pPr>
    </w:p>
    <w:p w14:paraId="0CE74CC6" w14:textId="2078F603" w:rsidR="00EA1F46" w:rsidRDefault="00EA1F46" w:rsidP="00E82055">
      <w:pPr>
        <w:rPr>
          <w:rFonts w:cstheme="minorHAnsi"/>
          <w:color w:val="505050"/>
        </w:rPr>
      </w:pPr>
    </w:p>
    <w:p w14:paraId="5B829FC3" w14:textId="3D37F167" w:rsidR="00EA1F46" w:rsidRDefault="00EA1F46" w:rsidP="00E82055">
      <w:pPr>
        <w:rPr>
          <w:rFonts w:cstheme="minorHAnsi"/>
          <w:color w:val="505050"/>
        </w:rPr>
      </w:pPr>
    </w:p>
    <w:p w14:paraId="31EA4306" w14:textId="77777777" w:rsidR="00EA1F46" w:rsidRDefault="00EA1F46" w:rsidP="00E82055">
      <w:pPr>
        <w:rPr>
          <w:rFonts w:cstheme="minorHAnsi"/>
          <w:color w:val="505050"/>
        </w:rPr>
      </w:pPr>
    </w:p>
    <w:p w14:paraId="28FC957F" w14:textId="77777777" w:rsidR="00725A87" w:rsidRDefault="00725A87" w:rsidP="00E82055">
      <w:pPr>
        <w:rPr>
          <w:rFonts w:cstheme="minorHAnsi"/>
          <w:color w:val="505050"/>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80"/>
      </w:tblGrid>
      <w:tr w:rsidR="00606DCC" w:rsidRPr="005E4869" w14:paraId="31D4792D" w14:textId="77777777" w:rsidTr="00A54BC7">
        <w:tc>
          <w:tcPr>
            <w:tcW w:w="3369" w:type="dxa"/>
            <w:vAlign w:val="center"/>
          </w:tcPr>
          <w:p w14:paraId="513BF5DF" w14:textId="77777777" w:rsidR="00606DCC" w:rsidRPr="005E4869" w:rsidRDefault="00606DCC" w:rsidP="00A54BC7">
            <w:pPr>
              <w:spacing w:after="60"/>
              <w:rPr>
                <w:sz w:val="20"/>
                <w:szCs w:val="20"/>
              </w:rPr>
            </w:pPr>
            <w:r w:rsidRPr="005E4869">
              <w:rPr>
                <w:noProof/>
                <w:sz w:val="20"/>
                <w:szCs w:val="20"/>
                <w:lang w:eastAsia="en-GB"/>
              </w:rPr>
              <w:drawing>
                <wp:inline distT="0" distB="0" distL="0" distR="0" wp14:anchorId="3F39858B" wp14:editId="1CC5094E">
                  <wp:extent cx="1080000" cy="586800"/>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14938" b="22878"/>
                          <a:stretch/>
                        </pic:blipFill>
                        <pic:spPr bwMode="auto">
                          <a:xfrm>
                            <a:off x="0" y="0"/>
                            <a:ext cx="1080000" cy="586800"/>
                          </a:xfrm>
                          <a:prstGeom prst="rect">
                            <a:avLst/>
                          </a:prstGeom>
                          <a:ln>
                            <a:noFill/>
                          </a:ln>
                          <a:extLst>
                            <a:ext uri="{53640926-AAD7-44D8-BBD7-CCE9431645EC}">
                              <a14:shadowObscured xmlns:a14="http://schemas.microsoft.com/office/drawing/2010/main"/>
                            </a:ext>
                          </a:extLst>
                        </pic:spPr>
                      </pic:pic>
                    </a:graphicData>
                  </a:graphic>
                </wp:inline>
              </w:drawing>
            </w:r>
            <w:r w:rsidRPr="005E4869">
              <w:rPr>
                <w:noProof/>
                <w:sz w:val="20"/>
                <w:szCs w:val="20"/>
                <w:lang w:eastAsia="en-GB"/>
              </w:rPr>
              <w:drawing>
                <wp:inline distT="0" distB="0" distL="0" distR="0" wp14:anchorId="4E02A6B7" wp14:editId="56C288DB">
                  <wp:extent cx="885600" cy="5868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85600" cy="586800"/>
                          </a:xfrm>
                          <a:prstGeom prst="rect">
                            <a:avLst/>
                          </a:prstGeom>
                        </pic:spPr>
                      </pic:pic>
                    </a:graphicData>
                  </a:graphic>
                </wp:inline>
              </w:drawing>
            </w:r>
          </w:p>
        </w:tc>
        <w:tc>
          <w:tcPr>
            <w:tcW w:w="5880" w:type="dxa"/>
            <w:vAlign w:val="center"/>
          </w:tcPr>
          <w:p w14:paraId="045451D8" w14:textId="77777777" w:rsidR="00606DCC" w:rsidRPr="005E4869" w:rsidRDefault="00606DCC" w:rsidP="00A54BC7">
            <w:pPr>
              <w:spacing w:after="60"/>
              <w:rPr>
                <w:sz w:val="20"/>
                <w:szCs w:val="20"/>
              </w:rPr>
            </w:pPr>
            <w:r w:rsidRPr="005E4869">
              <w:rPr>
                <w:sz w:val="20"/>
                <w:szCs w:val="20"/>
              </w:rPr>
              <w:t>This project has received funding from the SESAR Joint Undertaking under the European Union’s Horizon 2020 research and innovation programme under grant agreement No 783287.</w:t>
            </w:r>
          </w:p>
        </w:tc>
      </w:tr>
    </w:tbl>
    <w:p w14:paraId="704E3C9C" w14:textId="77777777" w:rsidR="00A61848" w:rsidRDefault="00A61848" w:rsidP="00A61848">
      <w:pPr>
        <w:rPr>
          <w:rFonts w:cstheme="minorHAnsi"/>
          <w:color w:val="505050"/>
        </w:rPr>
      </w:pPr>
    </w:p>
    <w:sectPr w:rsidR="00A61848">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DE83B" w14:textId="77777777" w:rsidR="0066470B" w:rsidRDefault="0066470B" w:rsidP="001D7007">
      <w:pPr>
        <w:spacing w:after="0" w:line="240" w:lineRule="auto"/>
      </w:pPr>
      <w:r>
        <w:separator/>
      </w:r>
    </w:p>
  </w:endnote>
  <w:endnote w:type="continuationSeparator" w:id="0">
    <w:p w14:paraId="139084E1" w14:textId="77777777" w:rsidR="0066470B" w:rsidRDefault="0066470B" w:rsidP="001D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16A2E" w14:textId="137258CF" w:rsidR="001D7007" w:rsidRDefault="00A61848" w:rsidP="001D7007">
    <w:pPr>
      <w:pStyle w:val="Footer"/>
    </w:pPr>
    <w:r w:rsidRPr="00A61848">
      <w:rPr>
        <w:sz w:val="16"/>
        <w:szCs w:val="16"/>
      </w:rPr>
      <w:t>Introductory lecture provided by the Engage KTN</w:t>
    </w:r>
    <w:sdt>
      <w:sdtPr>
        <w:id w:val="-822509566"/>
        <w:docPartObj>
          <w:docPartGallery w:val="Page Numbers (Bottom of Page)"/>
          <w:docPartUnique/>
        </w:docPartObj>
      </w:sdtPr>
      <w:sdtEndPr>
        <w:rPr>
          <w:noProof/>
        </w:rPr>
      </w:sdtEndPr>
      <w:sdtContent>
        <w:r w:rsidR="001D7007">
          <w:tab/>
        </w:r>
        <w:r w:rsidR="001D7007">
          <w:fldChar w:fldCharType="begin"/>
        </w:r>
        <w:r w:rsidR="001D7007">
          <w:instrText xml:space="preserve"> PAGE   \* MERGEFORMAT </w:instrText>
        </w:r>
        <w:r w:rsidR="001D7007">
          <w:fldChar w:fldCharType="separate"/>
        </w:r>
        <w:r w:rsidR="00C84E0D">
          <w:rPr>
            <w:noProof/>
          </w:rPr>
          <w:t>1</w:t>
        </w:r>
        <w:r w:rsidR="001D700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5F8FE" w14:textId="77777777" w:rsidR="0066470B" w:rsidRDefault="0066470B" w:rsidP="001D7007">
      <w:pPr>
        <w:spacing w:after="0" w:line="240" w:lineRule="auto"/>
      </w:pPr>
      <w:r>
        <w:separator/>
      </w:r>
    </w:p>
  </w:footnote>
  <w:footnote w:type="continuationSeparator" w:id="0">
    <w:p w14:paraId="26B367D4" w14:textId="77777777" w:rsidR="0066470B" w:rsidRDefault="0066470B" w:rsidP="001D7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24475"/>
    <w:multiLevelType w:val="multilevel"/>
    <w:tmpl w:val="E1FAC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D3A8D"/>
    <w:multiLevelType w:val="hybridMultilevel"/>
    <w:tmpl w:val="A3BAA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C3FF6"/>
    <w:multiLevelType w:val="hybridMultilevel"/>
    <w:tmpl w:val="257EB1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30F39C7"/>
    <w:multiLevelType w:val="hybridMultilevel"/>
    <w:tmpl w:val="A35EE2C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2A0C48A4"/>
    <w:multiLevelType w:val="multilevel"/>
    <w:tmpl w:val="1D5C9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C217BB"/>
    <w:multiLevelType w:val="multilevel"/>
    <w:tmpl w:val="2970F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2905B1"/>
    <w:multiLevelType w:val="hybridMultilevel"/>
    <w:tmpl w:val="EC900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7052E2"/>
    <w:multiLevelType w:val="hybridMultilevel"/>
    <w:tmpl w:val="8026D0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BB76FB"/>
    <w:multiLevelType w:val="multilevel"/>
    <w:tmpl w:val="BC220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F93B1E"/>
    <w:multiLevelType w:val="hybridMultilevel"/>
    <w:tmpl w:val="061480E8"/>
    <w:lvl w:ilvl="0" w:tplc="40209A4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9"/>
  </w:num>
  <w:num w:numId="6">
    <w:abstractNumId w:val="1"/>
  </w:num>
  <w:num w:numId="7">
    <w:abstractNumId w:val="6"/>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C0E"/>
    <w:rsid w:val="00000B91"/>
    <w:rsid w:val="000018EC"/>
    <w:rsid w:val="00040C03"/>
    <w:rsid w:val="000420F4"/>
    <w:rsid w:val="00051924"/>
    <w:rsid w:val="000651A1"/>
    <w:rsid w:val="00082CFA"/>
    <w:rsid w:val="00085423"/>
    <w:rsid w:val="000B5981"/>
    <w:rsid w:val="000B6BC8"/>
    <w:rsid w:val="000C1243"/>
    <w:rsid w:val="000F3805"/>
    <w:rsid w:val="00111FCE"/>
    <w:rsid w:val="001204D6"/>
    <w:rsid w:val="00151E67"/>
    <w:rsid w:val="001903AE"/>
    <w:rsid w:val="001A3467"/>
    <w:rsid w:val="001D696B"/>
    <w:rsid w:val="001D7007"/>
    <w:rsid w:val="001F4C0E"/>
    <w:rsid w:val="001F5B69"/>
    <w:rsid w:val="00206AD5"/>
    <w:rsid w:val="00215F5A"/>
    <w:rsid w:val="0025153B"/>
    <w:rsid w:val="00256610"/>
    <w:rsid w:val="0028302B"/>
    <w:rsid w:val="002B3B03"/>
    <w:rsid w:val="0031259A"/>
    <w:rsid w:val="00314BA6"/>
    <w:rsid w:val="00336123"/>
    <w:rsid w:val="0035767D"/>
    <w:rsid w:val="00374C57"/>
    <w:rsid w:val="0037797A"/>
    <w:rsid w:val="0039798D"/>
    <w:rsid w:val="003B0D64"/>
    <w:rsid w:val="003C103C"/>
    <w:rsid w:val="003C7713"/>
    <w:rsid w:val="003D4409"/>
    <w:rsid w:val="003D5162"/>
    <w:rsid w:val="003E0AE8"/>
    <w:rsid w:val="003F05A8"/>
    <w:rsid w:val="004061B0"/>
    <w:rsid w:val="004212AB"/>
    <w:rsid w:val="004259D4"/>
    <w:rsid w:val="00432A80"/>
    <w:rsid w:val="00442CBD"/>
    <w:rsid w:val="00446CFF"/>
    <w:rsid w:val="0046312E"/>
    <w:rsid w:val="004A2B28"/>
    <w:rsid w:val="004B5772"/>
    <w:rsid w:val="004B701A"/>
    <w:rsid w:val="004D2AEE"/>
    <w:rsid w:val="004D3B15"/>
    <w:rsid w:val="004F151B"/>
    <w:rsid w:val="00537D75"/>
    <w:rsid w:val="005439FB"/>
    <w:rsid w:val="0054510A"/>
    <w:rsid w:val="005670EE"/>
    <w:rsid w:val="0059297C"/>
    <w:rsid w:val="00596B6D"/>
    <w:rsid w:val="005B178C"/>
    <w:rsid w:val="005B7D2C"/>
    <w:rsid w:val="005D6169"/>
    <w:rsid w:val="005D6F35"/>
    <w:rsid w:val="005F1799"/>
    <w:rsid w:val="005F1F97"/>
    <w:rsid w:val="0060650D"/>
    <w:rsid w:val="00606DCC"/>
    <w:rsid w:val="0066470B"/>
    <w:rsid w:val="006669B4"/>
    <w:rsid w:val="00667B3B"/>
    <w:rsid w:val="006A2179"/>
    <w:rsid w:val="006D406F"/>
    <w:rsid w:val="006E7EE7"/>
    <w:rsid w:val="006F593D"/>
    <w:rsid w:val="00725A87"/>
    <w:rsid w:val="00732227"/>
    <w:rsid w:val="00735121"/>
    <w:rsid w:val="007565AB"/>
    <w:rsid w:val="007835F5"/>
    <w:rsid w:val="00792323"/>
    <w:rsid w:val="00797B28"/>
    <w:rsid w:val="007A1DFB"/>
    <w:rsid w:val="007A7D7C"/>
    <w:rsid w:val="007A7F11"/>
    <w:rsid w:val="007B6DCB"/>
    <w:rsid w:val="007C35F5"/>
    <w:rsid w:val="007C361F"/>
    <w:rsid w:val="007E22C4"/>
    <w:rsid w:val="007E7FB5"/>
    <w:rsid w:val="00821F48"/>
    <w:rsid w:val="0083350C"/>
    <w:rsid w:val="00847BDA"/>
    <w:rsid w:val="00855CD1"/>
    <w:rsid w:val="00886A6C"/>
    <w:rsid w:val="00896063"/>
    <w:rsid w:val="008B0911"/>
    <w:rsid w:val="008F7DC7"/>
    <w:rsid w:val="008F7FDA"/>
    <w:rsid w:val="00947002"/>
    <w:rsid w:val="00974DE2"/>
    <w:rsid w:val="00991BCC"/>
    <w:rsid w:val="009B4DC7"/>
    <w:rsid w:val="009C0800"/>
    <w:rsid w:val="009D3CF0"/>
    <w:rsid w:val="00A230E2"/>
    <w:rsid w:val="00A61848"/>
    <w:rsid w:val="00A70B0D"/>
    <w:rsid w:val="00A8592B"/>
    <w:rsid w:val="00AB1B5E"/>
    <w:rsid w:val="00B012E3"/>
    <w:rsid w:val="00B20EB6"/>
    <w:rsid w:val="00B221D1"/>
    <w:rsid w:val="00B40D29"/>
    <w:rsid w:val="00B40E85"/>
    <w:rsid w:val="00B60331"/>
    <w:rsid w:val="00B65A79"/>
    <w:rsid w:val="00B66F90"/>
    <w:rsid w:val="00B7759B"/>
    <w:rsid w:val="00B77A4A"/>
    <w:rsid w:val="00B949ED"/>
    <w:rsid w:val="00BA2748"/>
    <w:rsid w:val="00BB0CC9"/>
    <w:rsid w:val="00BD39A0"/>
    <w:rsid w:val="00BE2480"/>
    <w:rsid w:val="00C02F31"/>
    <w:rsid w:val="00C1241B"/>
    <w:rsid w:val="00C17E9D"/>
    <w:rsid w:val="00C219F5"/>
    <w:rsid w:val="00C40FEB"/>
    <w:rsid w:val="00C54986"/>
    <w:rsid w:val="00C70551"/>
    <w:rsid w:val="00C84E0D"/>
    <w:rsid w:val="00CA3962"/>
    <w:rsid w:val="00CA4479"/>
    <w:rsid w:val="00CC2188"/>
    <w:rsid w:val="00CC2E26"/>
    <w:rsid w:val="00CD631F"/>
    <w:rsid w:val="00CE436B"/>
    <w:rsid w:val="00CF49BD"/>
    <w:rsid w:val="00D20544"/>
    <w:rsid w:val="00D90EB4"/>
    <w:rsid w:val="00D96845"/>
    <w:rsid w:val="00DD15F0"/>
    <w:rsid w:val="00E056C6"/>
    <w:rsid w:val="00E62936"/>
    <w:rsid w:val="00E82055"/>
    <w:rsid w:val="00E82F92"/>
    <w:rsid w:val="00E9135F"/>
    <w:rsid w:val="00EA1F46"/>
    <w:rsid w:val="00EB44EB"/>
    <w:rsid w:val="00EB6105"/>
    <w:rsid w:val="00EB7888"/>
    <w:rsid w:val="00EC6EE1"/>
    <w:rsid w:val="00ED1D55"/>
    <w:rsid w:val="00ED2E5A"/>
    <w:rsid w:val="00F071B7"/>
    <w:rsid w:val="00F35898"/>
    <w:rsid w:val="00F47ACF"/>
    <w:rsid w:val="00F90C32"/>
    <w:rsid w:val="00F93CC3"/>
    <w:rsid w:val="00FF1D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23BFB"/>
  <w15:docId w15:val="{F29CF53D-3E4F-4FD9-89DD-D9A981D8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F90C32"/>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32A8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D406F"/>
    <w:rPr>
      <w:color w:val="0563C1" w:themeColor="hyperlink"/>
      <w:u w:val="single"/>
    </w:rPr>
  </w:style>
  <w:style w:type="character" w:customStyle="1" w:styleId="UnresolvedMention1">
    <w:name w:val="Unresolved Mention1"/>
    <w:basedOn w:val="DefaultParagraphFont"/>
    <w:uiPriority w:val="99"/>
    <w:semiHidden/>
    <w:unhideWhenUsed/>
    <w:rsid w:val="006D406F"/>
    <w:rPr>
      <w:color w:val="605E5C"/>
      <w:shd w:val="clear" w:color="auto" w:fill="E1DFDD"/>
    </w:rPr>
  </w:style>
  <w:style w:type="paragraph" w:styleId="ListParagraph">
    <w:name w:val="List Paragraph"/>
    <w:basedOn w:val="Normal"/>
    <w:uiPriority w:val="34"/>
    <w:qFormat/>
    <w:rsid w:val="005B178C"/>
    <w:pPr>
      <w:ind w:left="720"/>
      <w:contextualSpacing/>
    </w:pPr>
  </w:style>
  <w:style w:type="character" w:customStyle="1" w:styleId="Heading4Char">
    <w:name w:val="Heading 4 Char"/>
    <w:basedOn w:val="DefaultParagraphFont"/>
    <w:link w:val="Heading4"/>
    <w:uiPriority w:val="9"/>
    <w:rsid w:val="00F90C32"/>
    <w:rPr>
      <w:rFonts w:ascii="Times New Roman" w:eastAsia="Times New Roman" w:hAnsi="Times New Roman" w:cs="Times New Roman"/>
      <w:b/>
      <w:bCs/>
      <w:sz w:val="24"/>
      <w:szCs w:val="24"/>
      <w:lang w:eastAsia="en-GB"/>
    </w:rPr>
  </w:style>
  <w:style w:type="paragraph" w:styleId="BalloonText">
    <w:name w:val="Balloon Text"/>
    <w:basedOn w:val="Normal"/>
    <w:link w:val="BalloonTextChar"/>
    <w:uiPriority w:val="99"/>
    <w:semiHidden/>
    <w:unhideWhenUsed/>
    <w:rsid w:val="00ED1D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D55"/>
    <w:rPr>
      <w:rFonts w:ascii="Tahoma" w:hAnsi="Tahoma" w:cs="Tahoma"/>
      <w:sz w:val="16"/>
      <w:szCs w:val="16"/>
    </w:rPr>
  </w:style>
  <w:style w:type="paragraph" w:styleId="Header">
    <w:name w:val="header"/>
    <w:basedOn w:val="Normal"/>
    <w:link w:val="HeaderChar"/>
    <w:uiPriority w:val="99"/>
    <w:unhideWhenUsed/>
    <w:rsid w:val="001D70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7007"/>
  </w:style>
  <w:style w:type="paragraph" w:styleId="Footer">
    <w:name w:val="footer"/>
    <w:basedOn w:val="Normal"/>
    <w:link w:val="FooterChar"/>
    <w:uiPriority w:val="99"/>
    <w:unhideWhenUsed/>
    <w:rsid w:val="001D70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7007"/>
  </w:style>
  <w:style w:type="character" w:styleId="UnresolvedMention">
    <w:name w:val="Unresolved Mention"/>
    <w:basedOn w:val="DefaultParagraphFont"/>
    <w:uiPriority w:val="99"/>
    <w:semiHidden/>
    <w:unhideWhenUsed/>
    <w:rsid w:val="00606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666323">
      <w:bodyDiv w:val="1"/>
      <w:marLeft w:val="0"/>
      <w:marRight w:val="0"/>
      <w:marTop w:val="0"/>
      <w:marBottom w:val="0"/>
      <w:divBdr>
        <w:top w:val="none" w:sz="0" w:space="0" w:color="auto"/>
        <w:left w:val="none" w:sz="0" w:space="0" w:color="auto"/>
        <w:bottom w:val="none" w:sz="0" w:space="0" w:color="auto"/>
        <w:right w:val="none" w:sz="0" w:space="0" w:color="auto"/>
      </w:divBdr>
      <w:divsChild>
        <w:div w:id="587887888">
          <w:marLeft w:val="0"/>
          <w:marRight w:val="0"/>
          <w:marTop w:val="0"/>
          <w:marBottom w:val="0"/>
          <w:divBdr>
            <w:top w:val="none" w:sz="0" w:space="0" w:color="auto"/>
            <w:left w:val="none" w:sz="0" w:space="0" w:color="auto"/>
            <w:bottom w:val="none" w:sz="0" w:space="0" w:color="auto"/>
            <w:right w:val="none" w:sz="0" w:space="0" w:color="auto"/>
          </w:divBdr>
        </w:div>
      </w:divsChild>
    </w:div>
    <w:div w:id="463350518">
      <w:bodyDiv w:val="1"/>
      <w:marLeft w:val="0"/>
      <w:marRight w:val="0"/>
      <w:marTop w:val="0"/>
      <w:marBottom w:val="0"/>
      <w:divBdr>
        <w:top w:val="none" w:sz="0" w:space="0" w:color="auto"/>
        <w:left w:val="none" w:sz="0" w:space="0" w:color="auto"/>
        <w:bottom w:val="none" w:sz="0" w:space="0" w:color="auto"/>
        <w:right w:val="none" w:sz="0" w:space="0" w:color="auto"/>
      </w:divBdr>
    </w:div>
    <w:div w:id="166273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esarju.eu/sesarinnovationdays" TargetMode="External"/><Relationship Id="rId18" Type="http://schemas.openxmlformats.org/officeDocument/2006/relationships/hyperlink" Target="https://ec.europa.eu/eurostat" TargetMode="External"/><Relationship Id="rId26" Type="http://schemas.openxmlformats.org/officeDocument/2006/relationships/hyperlink" Target="https://www.sesarju.eu/sites/default/files/documents/reports/SESAR_Solutions_Catalogue_2019_web.pdf" TargetMode="External"/><Relationship Id="rId3" Type="http://schemas.openxmlformats.org/officeDocument/2006/relationships/settings" Target="settings.xml"/><Relationship Id="rId21" Type="http://schemas.openxmlformats.org/officeDocument/2006/relationships/hyperlink" Target="https://www.sesarju.eu/sites/default/files/documents/demos/Free%20Route%20Airspace%20Maastricht%20and%20Karlsruhe_FRAMaK_Final%20Report.pdf" TargetMode="External"/><Relationship Id="rId7" Type="http://schemas.openxmlformats.org/officeDocument/2006/relationships/image" Target="media/image1.png"/><Relationship Id="rId12" Type="http://schemas.openxmlformats.org/officeDocument/2006/relationships/hyperlink" Target="http://authors.elsevier.com/sd/article/S1000936117300237" TargetMode="External"/><Relationship Id="rId17" Type="http://schemas.openxmlformats.org/officeDocument/2006/relationships/hyperlink" Target="https://www.eurocontrol.int/dashboard/rnd-data-archive" TargetMode="External"/><Relationship Id="rId25" Type="http://schemas.openxmlformats.org/officeDocument/2006/relationships/hyperlink" Target="https://www.sesarju.eu/sites/default/files/2019-05/AAS_FINAL_0.pd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eurocontrol.int/library" TargetMode="External"/><Relationship Id="rId20" Type="http://schemas.openxmlformats.org/officeDocument/2006/relationships/hyperlink" Target="https://www.beacon-sesar.eu/"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search.policyarchive.org/5778.pdf" TargetMode="External"/><Relationship Id="rId24" Type="http://schemas.openxmlformats.org/officeDocument/2006/relationships/hyperlink" Target="https://www.atmmasterplan.e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ublic.nm.eurocontrol.int/PUBPORTAL/gateway/spec/index.html" TargetMode="External"/><Relationship Id="rId23" Type="http://schemas.openxmlformats.org/officeDocument/2006/relationships/hyperlink" Target="https://ext.eurocontrol.int/ehp/?q=node/1570" TargetMode="External"/><Relationship Id="rId28" Type="http://schemas.openxmlformats.org/officeDocument/2006/relationships/hyperlink" Target="https://www.sesarju.eu/sites/default/files/documents/reports/SRIA%20Final.pdf" TargetMode="External"/><Relationship Id="rId10" Type="http://schemas.openxmlformats.org/officeDocument/2006/relationships/hyperlink" Target="https://www.sciencedirect.com/science/article/pii/S2095809921000503" TargetMode="External"/><Relationship Id="rId19" Type="http://schemas.openxmlformats.org/officeDocument/2006/relationships/hyperlink" Target="https://www.eurocontrol.int/prudata/dashboard/vis/"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ikiengagektn.com/" TargetMode="External"/><Relationship Id="rId14" Type="http://schemas.openxmlformats.org/officeDocument/2006/relationships/hyperlink" Target="https://www.sesarju.eu/sesarinnovationdays" TargetMode="External"/><Relationship Id="rId22" Type="http://schemas.openxmlformats.org/officeDocument/2006/relationships/hyperlink" Target="https://modus-project.eu/" TargetMode="External"/><Relationship Id="rId27" Type="http://schemas.openxmlformats.org/officeDocument/2006/relationships/hyperlink" Target="http://www.sesarju.eu/index.php/activities-solutions" TargetMode="External"/><Relationship Id="rId30" Type="http://schemas.openxmlformats.org/officeDocument/2006/relationships/image" Target="media/image3.png"/><Relationship Id="rId8" Type="http://schemas.openxmlformats.org/officeDocument/2006/relationships/hyperlink" Target="https://engagekt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Introductory lecture provided by the Engage KTN</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Introductory lecture provided by the Engage KTN</dc:title>
  <dc:subject>The SESAR Knowledge Transfer Network</dc:subject>
  <dc:creator>Engage Consortium</dc:creator>
  <cp:keywords/>
  <dc:description/>
  <cp:lastModifiedBy>Graham Tanner</cp:lastModifiedBy>
  <cp:revision>24</cp:revision>
  <cp:lastPrinted>2021-06-11T08:51:00Z</cp:lastPrinted>
  <dcterms:created xsi:type="dcterms:W3CDTF">2021-06-11T08:36:00Z</dcterms:created>
  <dcterms:modified xsi:type="dcterms:W3CDTF">2021-08-08T17:52:00Z</dcterms:modified>
</cp:coreProperties>
</file>